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10BDA" w14:textId="1A6CBC51" w:rsidR="00652603" w:rsidRPr="00903FBB" w:rsidRDefault="2564D0F0" w:rsidP="00AF4CB6">
      <w:pPr>
        <w:pStyle w:val="Heading1"/>
      </w:pPr>
      <w:r w:rsidRPr="00752F13">
        <w:rPr>
          <w:color w:val="538135" w:themeColor="accent6" w:themeShade="BF"/>
        </w:rPr>
        <w:t>Equitable Strategy Map</w:t>
      </w:r>
      <w:r w:rsidRPr="4A1A8BF6">
        <w:t>: A Toolkit for</w:t>
      </w:r>
      <w:r w:rsidR="00B50526">
        <w:t xml:space="preserve"> Greenhouse Gas Reduction through the</w:t>
      </w:r>
      <w:r w:rsidRPr="4A1A8BF6">
        <w:t xml:space="preserve"> </w:t>
      </w:r>
      <w:r w:rsidR="00BF169D" w:rsidRPr="00752F13">
        <w:rPr>
          <w:color w:val="538135" w:themeColor="accent6" w:themeShade="BF"/>
        </w:rPr>
        <w:t>Greening</w:t>
      </w:r>
      <w:r w:rsidR="00BF169D" w:rsidRPr="00AF4CB6">
        <w:t xml:space="preserve"> </w:t>
      </w:r>
      <w:r w:rsidR="00B50526">
        <w:t xml:space="preserve">of </w:t>
      </w:r>
      <w:r w:rsidR="00BF169D" w:rsidRPr="00BF169D">
        <w:t xml:space="preserve">the Affordable Multifamily Market Sector in Low-Income and Disadvantaged Communities </w:t>
      </w:r>
    </w:p>
    <w:p w14:paraId="60187495" w14:textId="2E70F03A" w:rsidR="004F4FC7" w:rsidRDefault="004F4FC7" w:rsidP="4A1A8BF6"/>
    <w:p w14:paraId="36D00179" w14:textId="771770B9" w:rsidR="00065CE9" w:rsidRPr="00065CE9" w:rsidRDefault="681D35F2" w:rsidP="4A1A8BF6">
      <w:r w:rsidRPr="0003469A">
        <w:rPr>
          <w:b/>
          <w:bCs/>
        </w:rPr>
        <w:t>Business as usual is no longer enough</w:t>
      </w:r>
      <w:r w:rsidRPr="4A1A8BF6">
        <w:t xml:space="preserve">. Communities of color, Native communities, and those </w:t>
      </w:r>
      <w:r w:rsidR="401487A4" w:rsidRPr="4A1A8BF6">
        <w:t>who</w:t>
      </w:r>
      <w:r w:rsidRPr="4A1A8BF6">
        <w:t xml:space="preserve"> are economically </w:t>
      </w:r>
      <w:r w:rsidR="39ADEF85" w:rsidRPr="4A1A8BF6">
        <w:t xml:space="preserve">marginalized </w:t>
      </w:r>
      <w:r w:rsidRPr="4A1A8BF6">
        <w:t xml:space="preserve">are disproportionately impacted by the risks and realities of climate change. Homes and farms are damaged. Workers and businesses face the impact of </w:t>
      </w:r>
      <w:r w:rsidR="00AF4CB6">
        <w:t>ongoing</w:t>
      </w:r>
      <w:r w:rsidRPr="4A1A8BF6">
        <w:t xml:space="preserve"> economic </w:t>
      </w:r>
      <w:r w:rsidR="4571A312" w:rsidRPr="4A1A8BF6">
        <w:t xml:space="preserve">and climate-related </w:t>
      </w:r>
      <w:r w:rsidRPr="4A1A8BF6">
        <w:t xml:space="preserve">shifts. Lives and livelihoods are at stake. </w:t>
      </w:r>
      <w:r w:rsidR="025DC296" w:rsidRPr="4A1A8BF6">
        <w:t xml:space="preserve">At the same time, </w:t>
      </w:r>
      <w:r w:rsidR="03D3EF84" w:rsidRPr="4A1A8BF6">
        <w:t>the</w:t>
      </w:r>
      <w:r w:rsidR="025DC296" w:rsidRPr="4A1A8BF6">
        <w:t xml:space="preserve"> unprecedented level of investment flowing into </w:t>
      </w:r>
      <w:r w:rsidR="03EF6758" w:rsidRPr="4A1A8BF6">
        <w:t>our</w:t>
      </w:r>
      <w:r w:rsidR="025DC296" w:rsidRPr="4A1A8BF6">
        <w:t xml:space="preserve"> new clean energy economy</w:t>
      </w:r>
      <w:r w:rsidR="6C61840B" w:rsidRPr="4A1A8BF6">
        <w:t xml:space="preserve"> represents a significant opportunity for low-income communities and communities of color to </w:t>
      </w:r>
      <w:r w:rsidR="26B5C926" w:rsidRPr="4A1A8BF6">
        <w:t xml:space="preserve">address longstanding </w:t>
      </w:r>
      <w:r w:rsidR="149518BE" w:rsidRPr="4A1A8BF6">
        <w:t xml:space="preserve">systemic </w:t>
      </w:r>
      <w:r w:rsidR="26B5C926" w:rsidRPr="4A1A8BF6">
        <w:t>inequities</w:t>
      </w:r>
      <w:r w:rsidR="025DC296" w:rsidRPr="4A1A8BF6">
        <w:t>. To meet this vision</w:t>
      </w:r>
      <w:r w:rsidR="36EC770E" w:rsidRPr="4A1A8BF6">
        <w:t xml:space="preserve"> of an equitable clean energy transition</w:t>
      </w:r>
      <w:r w:rsidR="025DC296" w:rsidRPr="4A1A8BF6">
        <w:t>, w</w:t>
      </w:r>
      <w:r w:rsidRPr="4A1A8BF6">
        <w:t xml:space="preserve">e need to structure investments </w:t>
      </w:r>
      <w:r w:rsidRPr="0003469A">
        <w:rPr>
          <w:b/>
          <w:bCs/>
          <w:i/>
          <w:iCs/>
        </w:rPr>
        <w:t>to ensure that resilience and greenhouse gas reduction are engineered into</w:t>
      </w:r>
      <w:r w:rsidRPr="4A1A8BF6">
        <w:t xml:space="preserve"> </w:t>
      </w:r>
      <w:r w:rsidRPr="4A1A8BF6">
        <w:rPr>
          <w:b/>
          <w:bCs/>
          <w:i/>
          <w:iCs/>
        </w:rPr>
        <w:t xml:space="preserve">every </w:t>
      </w:r>
      <w:r w:rsidR="15AD8E55" w:rsidRPr="4A1A8BF6">
        <w:rPr>
          <w:b/>
          <w:bCs/>
          <w:i/>
          <w:iCs/>
        </w:rPr>
        <w:t>investment</w:t>
      </w:r>
      <w:r w:rsidRPr="4A1A8BF6">
        <w:rPr>
          <w:b/>
          <w:bCs/>
          <w:i/>
          <w:iCs/>
        </w:rPr>
        <w:t>, every building, every business, every project, everywhere, for everyone</w:t>
      </w:r>
      <w:r w:rsidRPr="4A1A8BF6">
        <w:t xml:space="preserve">. </w:t>
      </w:r>
    </w:p>
    <w:p w14:paraId="64D552A6" w14:textId="77777777" w:rsidR="00065CE9" w:rsidRPr="00065CE9" w:rsidRDefault="00065CE9" w:rsidP="4A1A8BF6"/>
    <w:p w14:paraId="66D0A662" w14:textId="3E18E78A" w:rsidR="00065CE9" w:rsidRPr="00065CE9" w:rsidRDefault="681D35F2" w:rsidP="4A1A8BF6">
      <w:r w:rsidRPr="4A1A8BF6">
        <w:t xml:space="preserve">The Inflation Reduction Act (IRA) includes </w:t>
      </w:r>
      <w:r w:rsidR="0D49DCC3" w:rsidRPr="4A1A8BF6">
        <w:t xml:space="preserve">historic </w:t>
      </w:r>
      <w:r w:rsidRPr="4A1A8BF6">
        <w:t>funding and opportunities to fuel greenhouse gas reduction for low-income and disadvantaged communities.</w:t>
      </w:r>
      <w:r w:rsidR="401487A4" w:rsidRPr="4A1A8BF6">
        <w:t xml:space="preserve"> </w:t>
      </w:r>
      <w:r w:rsidR="3D15493E" w:rsidRPr="4A1A8BF6">
        <w:rPr>
          <w:b/>
          <w:bCs/>
          <w:i/>
          <w:iCs/>
        </w:rPr>
        <w:t xml:space="preserve">In </w:t>
      </w:r>
      <w:r w:rsidR="68A7DE11" w:rsidRPr="4A1A8BF6">
        <w:rPr>
          <w:b/>
          <w:bCs/>
          <w:i/>
          <w:iCs/>
        </w:rPr>
        <w:t>particular</w:t>
      </w:r>
      <w:r w:rsidR="3D15493E" w:rsidRPr="4A1A8BF6">
        <w:rPr>
          <w:b/>
          <w:bCs/>
          <w:i/>
          <w:iCs/>
        </w:rPr>
        <w:t xml:space="preserve">, the </w:t>
      </w:r>
      <w:r w:rsidR="5584C939" w:rsidRPr="4A1A8BF6">
        <w:rPr>
          <w:b/>
          <w:bCs/>
          <w:i/>
          <w:iCs/>
        </w:rPr>
        <w:t>Environmental Protection Agency’s (EPA) $27 billion Greenhouse Gas Reduction Fund (</w:t>
      </w:r>
      <w:r w:rsidR="00F00880">
        <w:rPr>
          <w:b/>
          <w:bCs/>
          <w:i/>
          <w:iCs/>
        </w:rPr>
        <w:t>GGRF</w:t>
      </w:r>
      <w:r w:rsidR="5584C939" w:rsidRPr="4A1A8BF6">
        <w:rPr>
          <w:b/>
          <w:bCs/>
          <w:i/>
          <w:iCs/>
        </w:rPr>
        <w:t xml:space="preserve">) represents a critical tool in realizing the vision of a more equitable, climate resilient future. </w:t>
      </w:r>
      <w:r w:rsidRPr="4A1A8BF6">
        <w:t>Over the past several months, the University of New Hampshire’s Center for Impact Finance (CIF) and the Natural Resources Defense Council (NRDC) have led a “sprint design process” to develop “equitable strategy maps” to inform equitable greenhouse gas reduction</w:t>
      </w:r>
      <w:r w:rsidR="5CC0D503" w:rsidRPr="4A1A8BF6">
        <w:t xml:space="preserve"> with </w:t>
      </w:r>
      <w:r w:rsidR="00F00880">
        <w:t>GGRF</w:t>
      </w:r>
      <w:r w:rsidR="5CC0D503" w:rsidRPr="4A1A8BF6">
        <w:t xml:space="preserve"> funds</w:t>
      </w:r>
      <w:r w:rsidRPr="4A1A8BF6">
        <w:t xml:space="preserve"> through traditional lending lines of business in key market sectors. </w:t>
      </w:r>
    </w:p>
    <w:p w14:paraId="6D8BF602" w14:textId="77777777" w:rsidR="00065CE9" w:rsidRPr="00065CE9" w:rsidRDefault="00065CE9" w:rsidP="4A1A8BF6"/>
    <w:p w14:paraId="7001CB29" w14:textId="1B53DDAD" w:rsidR="00065CE9" w:rsidRPr="00065CE9" w:rsidRDefault="681D35F2" w:rsidP="4A1A8BF6">
      <w:r w:rsidRPr="4A1A8BF6">
        <w:t xml:space="preserve">Through this "sprint design lab" process, supported by CIF and NRDC staff and consultants, </w:t>
      </w:r>
      <w:r w:rsidRPr="0003469A">
        <w:rPr>
          <w:b/>
          <w:bCs/>
          <w:i/>
          <w:iCs/>
        </w:rPr>
        <w:t>expert teams have shared knowledge and developed recommendations for delivering equitable resilience and greenhouse gas reduction through coordination, cooperation, and collaboration by all members of the project development ecosystem</w:t>
      </w:r>
      <w:r w:rsidRPr="4A1A8BF6">
        <w:t xml:space="preserve">: </w:t>
      </w:r>
      <w:r w:rsidR="00C1752F">
        <w:t>C</w:t>
      </w:r>
      <w:r w:rsidRPr="4A1A8BF6">
        <w:t xml:space="preserve">ommunity </w:t>
      </w:r>
      <w:r w:rsidR="00C1752F">
        <w:t>D</w:t>
      </w:r>
      <w:r w:rsidRPr="4A1A8BF6">
        <w:t xml:space="preserve">evelopment </w:t>
      </w:r>
      <w:r w:rsidR="00C1752F">
        <w:t>Fi</w:t>
      </w:r>
      <w:r w:rsidRPr="4A1A8BF6">
        <w:t xml:space="preserve">nancial </w:t>
      </w:r>
      <w:r w:rsidR="00C1752F">
        <w:t>I</w:t>
      </w:r>
      <w:r w:rsidRPr="4A1A8BF6">
        <w:t>nstitutions (CDFIs), community development banks and credit unions, Minority Depository Institutions</w:t>
      </w:r>
      <w:r w:rsidR="7416BD0A" w:rsidRPr="4A1A8BF6">
        <w:t xml:space="preserve"> (MDIs)</w:t>
      </w:r>
      <w:r w:rsidRPr="4A1A8BF6">
        <w:t>, Green Banks, and other mission lenders; community development corporations; environmental advocates; contractors; community groups; and others committed to a just, resilient future.</w:t>
      </w:r>
    </w:p>
    <w:p w14:paraId="4D281342" w14:textId="11258133" w:rsidR="00065CE9" w:rsidRPr="00065CE9" w:rsidRDefault="00065CE9" w:rsidP="4A1A8BF6"/>
    <w:p w14:paraId="2D69A6F6" w14:textId="530F571E" w:rsidR="00065CE9" w:rsidRPr="00065CE9" w:rsidRDefault="681D35F2" w:rsidP="4A1A8BF6">
      <w:r w:rsidRPr="4A1A8BF6">
        <w:t>The</w:t>
      </w:r>
      <w:r w:rsidR="3D297B0A" w:rsidRPr="4A1A8BF6">
        <w:t xml:space="preserve"> resulting strategy </w:t>
      </w:r>
      <w:r w:rsidRPr="4A1A8BF6">
        <w:t>maps address how to (1) integrate and normalize greenhouse gas reduction into development services, financing, and asset management</w:t>
      </w:r>
      <w:r w:rsidR="0074012F">
        <w:t xml:space="preserve"> and (</w:t>
      </w:r>
      <w:r w:rsidRPr="4A1A8BF6">
        <w:t xml:space="preserve">2) </w:t>
      </w:r>
      <w:r w:rsidR="0074012F">
        <w:t>c</w:t>
      </w:r>
      <w:r w:rsidR="0074012F" w:rsidRPr="4A1A8BF6">
        <w:t xml:space="preserve">oordinate </w:t>
      </w:r>
      <w:r w:rsidRPr="4A1A8BF6">
        <w:t>and collaborate on the most impactful ways to deploy</w:t>
      </w:r>
      <w:r w:rsidR="3171BF70" w:rsidRPr="4A1A8BF6">
        <w:t xml:space="preserve"> EPA’s</w:t>
      </w:r>
      <w:r w:rsidRPr="4A1A8BF6">
        <w:t xml:space="preserve"> </w:t>
      </w:r>
      <w:r w:rsidR="00F00880">
        <w:t>GGRF</w:t>
      </w:r>
      <w:r w:rsidRPr="4A1A8BF6">
        <w:t xml:space="preserve"> dollars to scale clean energy financing in low income and disadvantaged communities and maximize </w:t>
      </w:r>
      <w:r w:rsidR="779D6E74" w:rsidRPr="4A1A8BF6">
        <w:t xml:space="preserve">community benefits </w:t>
      </w:r>
      <w:r w:rsidRPr="4A1A8BF6">
        <w:t xml:space="preserve">such as economic development, quality jobs, resilience, affordable housing, and sustainable food systems. Recommendations are grounded in deep, hands-on expertise, developed through working groups of </w:t>
      </w:r>
      <w:r w:rsidR="00765643">
        <w:t xml:space="preserve">dozens of </w:t>
      </w:r>
      <w:r w:rsidRPr="4A1A8BF6">
        <w:t xml:space="preserve">relevant market participants and stakeholders who together estimated the investment opportunity in each market sector, identified barriers and potential </w:t>
      </w:r>
      <w:r w:rsidRPr="4A1A8BF6">
        <w:lastRenderedPageBreak/>
        <w:t xml:space="preserve">solutions to scaling </w:t>
      </w:r>
      <w:r w:rsidR="195BD5A4" w:rsidRPr="4A1A8BF6">
        <w:t>each</w:t>
      </w:r>
      <w:r w:rsidRPr="4A1A8BF6">
        <w:t xml:space="preserve"> lending line of business brainstormed about collaborations necessary for project development, and discussed funding priorities.  </w:t>
      </w:r>
    </w:p>
    <w:p w14:paraId="4936E523" w14:textId="77777777" w:rsidR="00065CE9" w:rsidRPr="00065CE9" w:rsidRDefault="00065CE9" w:rsidP="4A1A8BF6"/>
    <w:p w14:paraId="5A014B47" w14:textId="77777777" w:rsidR="00065CE9" w:rsidRPr="00065CE9" w:rsidRDefault="681D35F2" w:rsidP="4A1A8BF6">
      <w:r w:rsidRPr="4A1A8BF6">
        <w:t>Each design lab engaged a cohort of experienced lenders, developers, and thought leaders reflective of the project development and finance process for that market sector to develop an Equitable Greenhouse Gas Reduction Strategy Map. Many thanks to all who participated.</w:t>
      </w:r>
    </w:p>
    <w:p w14:paraId="7EB1BB48" w14:textId="77777777" w:rsidR="00065CE9" w:rsidRDefault="00065CE9" w:rsidP="4A1A8BF6"/>
    <w:p w14:paraId="5A5EE496" w14:textId="534756E8" w:rsidR="00821B14" w:rsidRPr="007656CB" w:rsidRDefault="00821B14" w:rsidP="007656CB">
      <w:pPr>
        <w:pStyle w:val="Heading2"/>
        <w:rPr>
          <w:sz w:val="28"/>
          <w:szCs w:val="28"/>
        </w:rPr>
      </w:pPr>
      <w:r w:rsidRPr="007656CB">
        <w:rPr>
          <w:sz w:val="28"/>
          <w:szCs w:val="28"/>
        </w:rPr>
        <w:t>Scope</w:t>
      </w:r>
    </w:p>
    <w:p w14:paraId="036AA6DB" w14:textId="1CD4E3D0" w:rsidR="00065CE9" w:rsidRPr="00065CE9" w:rsidRDefault="681D35F2" w:rsidP="4A1A8BF6">
      <w:r w:rsidRPr="4A1A8BF6">
        <w:t xml:space="preserve">In this guide, we make the case that </w:t>
      </w:r>
      <w:r w:rsidRPr="007656CB">
        <w:rPr>
          <w:b/>
          <w:bCs/>
          <w:i/>
          <w:iCs/>
        </w:rPr>
        <w:t xml:space="preserve">equitable investments in </w:t>
      </w:r>
      <w:r w:rsidR="398BC15F" w:rsidRPr="007656CB">
        <w:rPr>
          <w:b/>
          <w:bCs/>
          <w:i/>
          <w:iCs/>
        </w:rPr>
        <w:t xml:space="preserve">energy efficiency and electrification in </w:t>
      </w:r>
      <w:r w:rsidR="195BD5A4" w:rsidRPr="007656CB">
        <w:rPr>
          <w:b/>
          <w:bCs/>
          <w:i/>
          <w:iCs/>
        </w:rPr>
        <w:t>multifamily housing properties</w:t>
      </w:r>
      <w:r w:rsidRPr="007656CB">
        <w:rPr>
          <w:b/>
          <w:bCs/>
          <w:i/>
          <w:iCs/>
        </w:rPr>
        <w:t xml:space="preserve"> for low-income and disadvantaged communities (</w:t>
      </w:r>
      <w:r w:rsidR="2180470E" w:rsidRPr="007656CB">
        <w:rPr>
          <w:b/>
          <w:bCs/>
          <w:i/>
          <w:iCs/>
        </w:rPr>
        <w:t>LI/</w:t>
      </w:r>
      <w:r w:rsidRPr="007656CB">
        <w:rPr>
          <w:b/>
          <w:bCs/>
          <w:i/>
          <w:iCs/>
        </w:rPr>
        <w:t xml:space="preserve">DAC) should be a key strategy for the EPA’s </w:t>
      </w:r>
      <w:r w:rsidR="00F00880" w:rsidRPr="007656CB">
        <w:rPr>
          <w:b/>
          <w:bCs/>
          <w:i/>
          <w:iCs/>
        </w:rPr>
        <w:t>GGRF</w:t>
      </w:r>
      <w:r w:rsidRPr="4A1A8BF6">
        <w:t xml:space="preserve">. Below, we describe the potential opportunities in this sector, and make concrete recommendations to ensure efficiency, effectiveness, accountability, and above all else equity in implementation. We have attempted to keep our focus tight on these specific assets and the market sector that designs, develops, and finances them. For overall recommendations around the implementation of the </w:t>
      </w:r>
      <w:r w:rsidR="00F00880">
        <w:t>GGRF</w:t>
      </w:r>
      <w:r w:rsidRPr="4A1A8BF6">
        <w:t xml:space="preserve"> and for additional equitable strategy maps, please consult the Center for Impact Finance’s webpage “</w:t>
      </w:r>
      <w:hyperlink r:id="rId11" w:history="1">
        <w:r w:rsidRPr="4A1A8BF6">
          <w:rPr>
            <w:rStyle w:val="Hyperlink"/>
          </w:rPr>
          <w:t>An Equity-Centered, Collaborative Approach to Greenhouse Gas Reduction for Low-Income and Disadvantaged Communities</w:t>
        </w:r>
      </w:hyperlink>
      <w:r w:rsidRPr="4A1A8BF6">
        <w:t>”</w:t>
      </w:r>
      <w:r w:rsidR="53AD807F" w:rsidRPr="4A1A8BF6">
        <w:t>.</w:t>
      </w:r>
    </w:p>
    <w:p w14:paraId="002E8979" w14:textId="77777777" w:rsidR="00065CE9" w:rsidRPr="00903FBB" w:rsidRDefault="00065CE9">
      <w:pPr>
        <w:rPr>
          <w:rFonts w:cstheme="minorHAnsi"/>
        </w:rPr>
      </w:pPr>
    </w:p>
    <w:p w14:paraId="7A4D3776" w14:textId="7CCAAA03" w:rsidR="00C1752F" w:rsidRPr="00C1752F" w:rsidRDefault="004F4FC7" w:rsidP="00C1752F">
      <w:pPr>
        <w:pStyle w:val="Heading2"/>
      </w:pPr>
      <w:r w:rsidRPr="007656CB">
        <w:rPr>
          <w:sz w:val="28"/>
          <w:szCs w:val="28"/>
        </w:rPr>
        <w:t>Overview of the Opportunity</w:t>
      </w:r>
    </w:p>
    <w:p w14:paraId="6F8D4B5A" w14:textId="58283ACE" w:rsidR="00F30172" w:rsidRDefault="482D37D6" w:rsidP="007C6588">
      <w:r>
        <w:t>Incre</w:t>
      </w:r>
      <w:r w:rsidR="00C1752F">
        <w:t>ased</w:t>
      </w:r>
      <w:r>
        <w:t xml:space="preserve"> investment in </w:t>
      </w:r>
      <w:r w:rsidR="721D68EB">
        <w:t xml:space="preserve">energy efficiency and building electrification </w:t>
      </w:r>
      <w:r w:rsidR="44486928">
        <w:t>for</w:t>
      </w:r>
      <w:r>
        <w:t xml:space="preserve"> </w:t>
      </w:r>
      <w:r w:rsidR="255D437E">
        <w:t xml:space="preserve">affordable </w:t>
      </w:r>
      <w:r>
        <w:t>multifamily buildings could deliver significant greenhouse gas reduction as well as meaningful benefits in health, resilience, and economic development.</w:t>
      </w:r>
      <w:r w:rsidR="44486928">
        <w:t xml:space="preserve"> What’s more</w:t>
      </w:r>
      <w:r w:rsidR="4C57CE17">
        <w:t>,</w:t>
      </w:r>
      <w:r w:rsidR="44486928">
        <w:t xml:space="preserve"> prioritizing decarbonization of affordable housing in ways that </w:t>
      </w:r>
      <w:r w:rsidR="7CE03EBC">
        <w:t>provide stable, affordable electricity; healthy indoor air quality; and resilience for the millions of low-income renters in the US is critical for environmental justice.</w:t>
      </w:r>
      <w:r w:rsidR="45CBC3F6">
        <w:t xml:space="preserve"> Multifamily housing is big business, and the </w:t>
      </w:r>
      <w:r w:rsidR="3CB63C9F">
        <w:t>markets for the development, financing, and management of multifamily properties are mature.</w:t>
      </w:r>
      <w:r w:rsidR="6DB5034F">
        <w:t xml:space="preserve"> However, </w:t>
      </w:r>
      <w:r w:rsidR="19601A1F">
        <w:t xml:space="preserve">many actors in this industry </w:t>
      </w:r>
      <w:r w:rsidR="6DB5034F">
        <w:t>have yet to fully embrace building decarbonization</w:t>
      </w:r>
      <w:r w:rsidR="1F8BAB8D">
        <w:t xml:space="preserve"> in their day-to-day operations and business plans</w:t>
      </w:r>
      <w:r w:rsidR="6DB5034F">
        <w:t>.</w:t>
      </w:r>
      <w:r w:rsidR="7A61CDED">
        <w:t xml:space="preserve"> </w:t>
      </w:r>
      <w:r w:rsidR="00F00880">
        <w:t>GGRF</w:t>
      </w:r>
      <w:r w:rsidR="17B4D379">
        <w:t xml:space="preserve"> dollars represent a key opportunity to transform this mature sector into </w:t>
      </w:r>
      <w:r w:rsidR="69C61327">
        <w:t xml:space="preserve">a force for </w:t>
      </w:r>
      <w:r w:rsidR="304D6304">
        <w:t>not only GHG reduction, but</w:t>
      </w:r>
      <w:r w:rsidR="3A93ECE2">
        <w:t xml:space="preserve"> for</w:t>
      </w:r>
      <w:r w:rsidR="304D6304">
        <w:t xml:space="preserve"> improved quality of life for millions of residents across the country</w:t>
      </w:r>
      <w:r w:rsidR="69C61327">
        <w:t xml:space="preserve">. </w:t>
      </w:r>
    </w:p>
    <w:p w14:paraId="244F749F" w14:textId="77777777" w:rsidR="001314EC" w:rsidRPr="00903FBB" w:rsidRDefault="001314EC" w:rsidP="00B36264">
      <w:pPr>
        <w:rPr>
          <w:i/>
          <w:iCs/>
        </w:rPr>
      </w:pPr>
    </w:p>
    <w:p w14:paraId="0B2BE05D" w14:textId="0CD770FD" w:rsidR="10D5BCD3" w:rsidRPr="00903FBB" w:rsidRDefault="22A5DD33" w:rsidP="3F4756A7">
      <w:pPr>
        <w:pStyle w:val="ListParagraph"/>
        <w:numPr>
          <w:ilvl w:val="0"/>
          <w:numId w:val="16"/>
        </w:numPr>
        <w:spacing w:line="259" w:lineRule="auto"/>
      </w:pPr>
      <w:r w:rsidRPr="4A1A8BF6">
        <w:rPr>
          <w:b/>
          <w:bCs/>
          <w:i/>
          <w:iCs/>
        </w:rPr>
        <w:t xml:space="preserve">Overall, the multifamily sector is responsible for </w:t>
      </w:r>
      <w:r w:rsidR="44C36A91" w:rsidRPr="4A1A8BF6">
        <w:rPr>
          <w:b/>
          <w:bCs/>
          <w:i/>
          <w:iCs/>
        </w:rPr>
        <w:t>13.9</w:t>
      </w:r>
      <w:r w:rsidRPr="4A1A8BF6">
        <w:rPr>
          <w:b/>
          <w:bCs/>
          <w:i/>
          <w:iCs/>
        </w:rPr>
        <w:t xml:space="preserve">% of </w:t>
      </w:r>
      <w:r w:rsidR="75FD28EB" w:rsidRPr="4A1A8BF6">
        <w:rPr>
          <w:b/>
          <w:bCs/>
          <w:i/>
          <w:iCs/>
        </w:rPr>
        <w:t xml:space="preserve">nationwide </w:t>
      </w:r>
      <w:r w:rsidR="0EA0D3E5" w:rsidRPr="4A1A8BF6">
        <w:rPr>
          <w:b/>
          <w:bCs/>
          <w:i/>
          <w:iCs/>
        </w:rPr>
        <w:t xml:space="preserve">greenhouse gas (GHG) </w:t>
      </w:r>
      <w:r w:rsidRPr="4A1A8BF6">
        <w:rPr>
          <w:b/>
          <w:bCs/>
          <w:i/>
          <w:iCs/>
        </w:rPr>
        <w:t>emissions</w:t>
      </w:r>
      <w:r w:rsidR="6BBD59B9" w:rsidRPr="4A1A8BF6">
        <w:rPr>
          <w:b/>
          <w:bCs/>
          <w:i/>
          <w:iCs/>
        </w:rPr>
        <w:t xml:space="preserve"> (CO</w:t>
      </w:r>
      <w:r w:rsidR="6BBD59B9" w:rsidRPr="4A1A8BF6">
        <w:rPr>
          <w:b/>
          <w:bCs/>
          <w:i/>
          <w:iCs/>
          <w:vertAlign w:val="subscript"/>
        </w:rPr>
        <w:t xml:space="preserve">2 </w:t>
      </w:r>
      <w:r w:rsidR="6BBD59B9" w:rsidRPr="4A1A8BF6">
        <w:rPr>
          <w:b/>
          <w:bCs/>
          <w:i/>
          <w:iCs/>
        </w:rPr>
        <w:t>equivalent)</w:t>
      </w:r>
      <w:r w:rsidR="10D5BCD3" w:rsidRPr="4A1A8BF6">
        <w:rPr>
          <w:rStyle w:val="FootnoteReference"/>
          <w:b/>
          <w:bCs/>
          <w:i/>
          <w:iCs/>
        </w:rPr>
        <w:footnoteReference w:id="1"/>
      </w:r>
      <w:r w:rsidRPr="4A1A8BF6">
        <w:rPr>
          <w:b/>
          <w:bCs/>
          <w:i/>
          <w:iCs/>
        </w:rPr>
        <w:t>.</w:t>
      </w:r>
      <w:r w:rsidRPr="3F4756A7">
        <w:t xml:space="preserve"> Beyond reducing GHG emissions,</w:t>
      </w:r>
      <w:r w:rsidR="1B7869AE" w:rsidRPr="3F4756A7">
        <w:t xml:space="preserve"> </w:t>
      </w:r>
      <w:r w:rsidR="513CD8F7" w:rsidRPr="3F4756A7">
        <w:t xml:space="preserve">the </w:t>
      </w:r>
      <w:r w:rsidR="1B7869AE" w:rsidRPr="3F4756A7">
        <w:t>G</w:t>
      </w:r>
      <w:r w:rsidR="00A1F95A" w:rsidRPr="3F4756A7">
        <w:t xml:space="preserve">reenhouse </w:t>
      </w:r>
      <w:r w:rsidR="00A1F95A" w:rsidRPr="3F4756A7">
        <w:lastRenderedPageBreak/>
        <w:t>Gas Reduction Fund (</w:t>
      </w:r>
      <w:r w:rsidR="00F00880">
        <w:t>GGRF</w:t>
      </w:r>
      <w:r w:rsidR="00A1F95A" w:rsidRPr="3F4756A7">
        <w:t xml:space="preserve">) </w:t>
      </w:r>
      <w:r w:rsidR="73F3117F" w:rsidRPr="3F4756A7">
        <w:t xml:space="preserve">represents a critical opportunity to address other issues in </w:t>
      </w:r>
      <w:r w:rsidR="2119EC3E" w:rsidRPr="3F4756A7">
        <w:t>multifamily buildings</w:t>
      </w:r>
      <w:r w:rsidR="6BB7B5D0" w:rsidRPr="3F4756A7">
        <w:t>, particularly</w:t>
      </w:r>
      <w:r w:rsidR="2119EC3E" w:rsidRPr="3F4756A7">
        <w:t>:</w:t>
      </w:r>
    </w:p>
    <w:p w14:paraId="546BEF62" w14:textId="2889BFF4" w:rsidR="000549D7" w:rsidRPr="00903FBB" w:rsidRDefault="5D0B8AB5" w:rsidP="00F30172">
      <w:pPr>
        <w:pStyle w:val="ListParagraph"/>
        <w:numPr>
          <w:ilvl w:val="1"/>
          <w:numId w:val="16"/>
        </w:numPr>
        <w:spacing w:line="259" w:lineRule="auto"/>
      </w:pPr>
      <w:r w:rsidRPr="4A1A8BF6">
        <w:t>Buildings are long-lived structures – opportunities to decarbonize buildings happen relatively infrequently and inaction has long-term negative impacts</w:t>
      </w:r>
      <w:r w:rsidR="000549D7">
        <w:t>.</w:t>
      </w:r>
    </w:p>
    <w:p w14:paraId="23D47F21" w14:textId="4DE757B6" w:rsidR="000549D7" w:rsidRPr="00903FBB" w:rsidRDefault="40566A08" w:rsidP="00F30172">
      <w:pPr>
        <w:pStyle w:val="ListParagraph"/>
        <w:numPr>
          <w:ilvl w:val="1"/>
          <w:numId w:val="16"/>
        </w:numPr>
        <w:spacing w:line="259" w:lineRule="auto"/>
      </w:pPr>
      <w:r w:rsidRPr="2821F8AF">
        <w:t xml:space="preserve">Investing in measures that reduce GHG emissions in multifamily </w:t>
      </w:r>
      <w:r w:rsidR="6732E5F4">
        <w:t xml:space="preserve">buildings </w:t>
      </w:r>
      <w:r w:rsidRPr="2821F8AF">
        <w:t>can d</w:t>
      </w:r>
      <w:r w:rsidR="22A5DD33" w:rsidRPr="2821F8AF">
        <w:t xml:space="preserve">rive </w:t>
      </w:r>
      <w:r w:rsidR="6732E5F4">
        <w:t xml:space="preserve">tangible </w:t>
      </w:r>
      <w:r w:rsidR="22A5DD33" w:rsidRPr="2821F8AF">
        <w:t xml:space="preserve">benefits (health, comfort, </w:t>
      </w:r>
      <w:r w:rsidR="6732E5F4">
        <w:t xml:space="preserve">resiliency, </w:t>
      </w:r>
      <w:r w:rsidR="22A5DD33" w:rsidRPr="2821F8AF">
        <w:t>and quality of life improvements</w:t>
      </w:r>
      <w:r w:rsidR="551C80B5" w:rsidRPr="2821F8AF">
        <w:t>)</w:t>
      </w:r>
      <w:r w:rsidR="00486BBF">
        <w:rPr>
          <w:rStyle w:val="FootnoteReference"/>
        </w:rPr>
        <w:footnoteReference w:id="2"/>
      </w:r>
      <w:r w:rsidR="000549D7">
        <w:t>.</w:t>
      </w:r>
    </w:p>
    <w:p w14:paraId="510AB33A" w14:textId="2A40AE9A" w:rsidR="000549D7" w:rsidRPr="00903FBB" w:rsidRDefault="4604C354" w:rsidP="00F30172">
      <w:pPr>
        <w:pStyle w:val="ListParagraph"/>
        <w:numPr>
          <w:ilvl w:val="1"/>
          <w:numId w:val="16"/>
        </w:numPr>
      </w:pPr>
      <w:r w:rsidRPr="2821F8AF">
        <w:t xml:space="preserve">Unlike the power and transportation sectors, a critical mass of major players within </w:t>
      </w:r>
      <w:r>
        <w:t>the buildings industry</w:t>
      </w:r>
      <w:r w:rsidR="00DD5ECE">
        <w:t xml:space="preserve"> (e.g. developers; owners; lenders; contractors; etc.)</w:t>
      </w:r>
      <w:r>
        <w:t xml:space="preserve"> have yet</w:t>
      </w:r>
      <w:r w:rsidR="00DD5ECE">
        <w:t xml:space="preserve"> to</w:t>
      </w:r>
      <w:r>
        <w:t xml:space="preserve"> embrace a transition to carbon neutrality</w:t>
      </w:r>
      <w:r w:rsidR="000549D7">
        <w:t>.</w:t>
      </w:r>
    </w:p>
    <w:p w14:paraId="0245107A" w14:textId="786B7D51" w:rsidR="000549D7" w:rsidRPr="00903FBB" w:rsidRDefault="7F45120E" w:rsidP="00F30172">
      <w:pPr>
        <w:pStyle w:val="ListParagraph"/>
        <w:numPr>
          <w:ilvl w:val="1"/>
          <w:numId w:val="16"/>
        </w:numPr>
      </w:pPr>
      <w:r w:rsidRPr="2821F8AF">
        <w:t xml:space="preserve">Physical standards for </w:t>
      </w:r>
      <w:r w:rsidR="00117451">
        <w:t xml:space="preserve">affordable </w:t>
      </w:r>
      <w:r w:rsidRPr="2821F8AF">
        <w:t>multifamily buildings are often stipulated by financing requirements so there is high potential for implementing GHG emissions reductions through the combination of private and government-supported financing strategies</w:t>
      </w:r>
      <w:r w:rsidR="000549D7">
        <w:t>.</w:t>
      </w:r>
    </w:p>
    <w:p w14:paraId="26039C22" w14:textId="159BAE1A" w:rsidR="58133BE3" w:rsidRPr="00903FBB" w:rsidRDefault="58133BE3" w:rsidP="2821F8AF">
      <w:pPr>
        <w:pStyle w:val="ListParagraph"/>
        <w:numPr>
          <w:ilvl w:val="1"/>
          <w:numId w:val="16"/>
        </w:numPr>
      </w:pPr>
      <w:r>
        <w:t>S</w:t>
      </w:r>
      <w:r w:rsidR="10D5BCD3">
        <w:t>ubsidiz</w:t>
      </w:r>
      <w:r w:rsidR="10D5BCD3" w:rsidRPr="2821F8AF">
        <w:t>ed, long-term financing is a high-impact strategy to decarbonize buildings</w:t>
      </w:r>
      <w:r w:rsidR="5451AF58" w:rsidRPr="2821F8AF">
        <w:t>.</w:t>
      </w:r>
    </w:p>
    <w:p w14:paraId="2C867FB7" w14:textId="25CED88F" w:rsidR="02E88350" w:rsidRPr="00903FBB" w:rsidRDefault="02E88350" w:rsidP="02E88350">
      <w:pPr>
        <w:spacing w:line="259" w:lineRule="auto"/>
        <w:rPr>
          <w:rFonts w:cstheme="minorHAnsi"/>
        </w:rPr>
      </w:pPr>
    </w:p>
    <w:p w14:paraId="7C31C9B3" w14:textId="43C78904" w:rsidR="00C74986" w:rsidRDefault="00524187" w:rsidP="00B36264">
      <w:pPr>
        <w:pStyle w:val="ListParagraph"/>
        <w:numPr>
          <w:ilvl w:val="0"/>
          <w:numId w:val="16"/>
        </w:numPr>
      </w:pPr>
      <w:hyperlink r:id="rId12">
        <w:r w:rsidR="4F459C43" w:rsidRPr="4A1A8BF6">
          <w:rPr>
            <w:rStyle w:val="Hyperlink"/>
          </w:rPr>
          <w:t>According to a report by the American Council for an Energy Efficient Economy (ACEEE),</w:t>
        </w:r>
      </w:hyperlink>
      <w:r w:rsidR="4F459C43">
        <w:t xml:space="preserve"> there are an estimated 12,455,350 low- to moderate-income households living in multifamily buildings </w:t>
      </w:r>
      <w:r w:rsidR="469CEEE4">
        <w:t xml:space="preserve">that could benefit from </w:t>
      </w:r>
      <w:r w:rsidR="4F459C43">
        <w:t xml:space="preserve">decarbonization upgrades. </w:t>
      </w:r>
      <w:r w:rsidR="4F459C43" w:rsidRPr="4A1A8BF6">
        <w:rPr>
          <w:b/>
          <w:bCs/>
          <w:i/>
          <w:iCs/>
        </w:rPr>
        <w:t>Conducting deep decarbonization retrofits</w:t>
      </w:r>
      <w:r w:rsidR="6C670724" w:rsidRPr="4A1A8BF6">
        <w:rPr>
          <w:b/>
          <w:bCs/>
          <w:i/>
          <w:iCs/>
        </w:rPr>
        <w:t xml:space="preserve"> (</w:t>
      </w:r>
      <w:r w:rsidR="7180B7AE" w:rsidRPr="4A1A8BF6">
        <w:rPr>
          <w:b/>
          <w:bCs/>
          <w:i/>
          <w:iCs/>
        </w:rPr>
        <w:t xml:space="preserve">e.g. </w:t>
      </w:r>
      <w:r w:rsidR="6C670724" w:rsidRPr="4A1A8BF6">
        <w:rPr>
          <w:b/>
          <w:bCs/>
          <w:i/>
          <w:iCs/>
        </w:rPr>
        <w:t>at least 50% efficiency improvements)</w:t>
      </w:r>
      <w:r w:rsidR="4F459C43" w:rsidRPr="4A1A8BF6">
        <w:rPr>
          <w:b/>
          <w:bCs/>
          <w:i/>
          <w:iCs/>
        </w:rPr>
        <w:t xml:space="preserve"> in these buildings could result in nearly 300 trillion Btus of energy savings, which would result in an estimated reduction of 38 million metric tons in CO2 equivalent emissions</w:t>
      </w:r>
      <w:r w:rsidR="4F459C43">
        <w:t xml:space="preserve"> – an 41% reduction from the current estimated emissions from the multifamily housing sector as a whole. </w:t>
      </w:r>
    </w:p>
    <w:p w14:paraId="77DB7DDA" w14:textId="05503FE3" w:rsidR="72CF78ED" w:rsidRPr="00903FBB" w:rsidRDefault="72CF78ED" w:rsidP="00B36264">
      <w:pPr>
        <w:ind w:left="360"/>
      </w:pPr>
    </w:p>
    <w:p w14:paraId="662693C3" w14:textId="75F32CD2" w:rsidR="72CF78ED" w:rsidRPr="00903FBB" w:rsidRDefault="53543A26" w:rsidP="00B36264">
      <w:pPr>
        <w:pStyle w:val="ListParagraph"/>
        <w:numPr>
          <w:ilvl w:val="0"/>
          <w:numId w:val="16"/>
        </w:numPr>
      </w:pPr>
      <w:r>
        <w:t xml:space="preserve">For the purpose of this guide, </w:t>
      </w:r>
      <w:r w:rsidR="3E15596D">
        <w:t xml:space="preserve">a </w:t>
      </w:r>
      <w:r w:rsidRPr="4A1A8BF6">
        <w:rPr>
          <w:b/>
          <w:bCs/>
          <w:i/>
          <w:iCs/>
        </w:rPr>
        <w:t>m</w:t>
      </w:r>
      <w:r w:rsidR="5E76AC05" w:rsidRPr="4A1A8BF6">
        <w:rPr>
          <w:b/>
          <w:bCs/>
          <w:i/>
          <w:iCs/>
        </w:rPr>
        <w:t xml:space="preserve">ultifamily building is defined as housing with </w:t>
      </w:r>
      <w:r w:rsidR="37979940" w:rsidRPr="4A1A8BF6">
        <w:rPr>
          <w:b/>
          <w:bCs/>
          <w:i/>
          <w:iCs/>
        </w:rPr>
        <w:t>five or more</w:t>
      </w:r>
      <w:r w:rsidR="5E76AC05" w:rsidRPr="4A1A8BF6">
        <w:rPr>
          <w:b/>
          <w:bCs/>
          <w:i/>
          <w:iCs/>
        </w:rPr>
        <w:t xml:space="preserve"> units</w:t>
      </w:r>
      <w:r w:rsidR="6F81454E">
        <w:t>, where</w:t>
      </w:r>
      <w:r w:rsidR="60EA052F">
        <w:t xml:space="preserve"> a </w:t>
      </w:r>
      <w:r w:rsidR="57DEDC1E">
        <w:t xml:space="preserve">significant number of those </w:t>
      </w:r>
      <w:r w:rsidR="6F81454E">
        <w:t xml:space="preserve">units are affordable to households 80% </w:t>
      </w:r>
      <w:r w:rsidR="493773BE">
        <w:t xml:space="preserve">of </w:t>
      </w:r>
      <w:r w:rsidR="6F81454E">
        <w:t>median family income and below.</w:t>
      </w:r>
      <w:r w:rsidR="73E9C2A3">
        <w:t xml:space="preserve"> Many of these properties </w:t>
      </w:r>
      <w:r w:rsidR="1D899DB1">
        <w:t>are subsidized by local, state, or federal assistance</w:t>
      </w:r>
      <w:r w:rsidR="5B22FB4B">
        <w:t xml:space="preserve"> programs</w:t>
      </w:r>
      <w:r w:rsidR="1D899DB1">
        <w:t xml:space="preserve">, financed through the Low-Income Tax Credit Program (LIHTC), </w:t>
      </w:r>
      <w:r w:rsidR="450C018A">
        <w:t xml:space="preserve">or </w:t>
      </w:r>
      <w:r w:rsidR="0A50A9E3">
        <w:t>have</w:t>
      </w:r>
      <w:r w:rsidR="0CDC1806">
        <w:t xml:space="preserve"> other financing mechanisms in place that require certain levels of affordability. “Naturally Occurring Affordable Housing” (NOAH) also represent</w:t>
      </w:r>
      <w:r w:rsidR="76DDD28D">
        <w:t xml:space="preserve">s a significant segment of this </w:t>
      </w:r>
      <w:r w:rsidR="0B03CE07">
        <w:t>population.</w:t>
      </w:r>
    </w:p>
    <w:p w14:paraId="78E03864" w14:textId="310745CA" w:rsidR="02E88350" w:rsidRDefault="02E88350" w:rsidP="00B36264">
      <w:pPr>
        <w:rPr>
          <w:rFonts w:cstheme="minorHAnsi"/>
        </w:rPr>
      </w:pPr>
    </w:p>
    <w:p w14:paraId="109BD55C" w14:textId="325CD4B2" w:rsidR="00F52B8F" w:rsidRPr="008205FD" w:rsidRDefault="674C3B8C" w:rsidP="00B36264">
      <w:pPr>
        <w:pStyle w:val="ListParagraph"/>
        <w:numPr>
          <w:ilvl w:val="0"/>
          <w:numId w:val="31"/>
        </w:numPr>
        <w:rPr>
          <w:color w:val="000000" w:themeColor="text1"/>
        </w:rPr>
      </w:pPr>
      <w:r w:rsidRPr="4A1A8BF6">
        <w:rPr>
          <w:color w:val="000000" w:themeColor="text1"/>
        </w:rPr>
        <w:t xml:space="preserve">While we discuss the estimated market size of different multifamily types below, a glimpse at a few larger mission-based intermediaries in the multifamily housing space </w:t>
      </w:r>
      <w:r w:rsidR="0E6924C0" w:rsidRPr="4A1A8BF6">
        <w:rPr>
          <w:color w:val="000000" w:themeColor="text1"/>
        </w:rPr>
        <w:t xml:space="preserve">demonstrates </w:t>
      </w:r>
      <w:r w:rsidRPr="4A1A8BF6">
        <w:rPr>
          <w:color w:val="000000" w:themeColor="text1"/>
        </w:rPr>
        <w:t xml:space="preserve">the significant decarbonization opportunity that exists. </w:t>
      </w:r>
      <w:r w:rsidR="022CCE2A" w:rsidRPr="4A1A8BF6">
        <w:rPr>
          <w:color w:val="000000" w:themeColor="text1"/>
        </w:rPr>
        <w:t xml:space="preserve">For example, </w:t>
      </w:r>
      <w:r w:rsidR="111DC553" w:rsidRPr="4A1A8BF6">
        <w:rPr>
          <w:color w:val="000000" w:themeColor="text1"/>
        </w:rPr>
        <w:t xml:space="preserve">almost 1 million multifamily housing units are either owned or currently under asset </w:t>
      </w:r>
      <w:r w:rsidR="111DC553" w:rsidRPr="4A1A8BF6">
        <w:rPr>
          <w:color w:val="000000" w:themeColor="text1"/>
        </w:rPr>
        <w:lastRenderedPageBreak/>
        <w:t xml:space="preserve">management </w:t>
      </w:r>
      <w:r w:rsidR="022CCE2A" w:rsidRPr="4A1A8BF6">
        <w:rPr>
          <w:color w:val="000000" w:themeColor="text1"/>
        </w:rPr>
        <w:t xml:space="preserve">between </w:t>
      </w:r>
      <w:r w:rsidRPr="4A1A8BF6">
        <w:rPr>
          <w:color w:val="000000" w:themeColor="text1"/>
        </w:rPr>
        <w:t xml:space="preserve">just </w:t>
      </w:r>
      <w:r w:rsidR="585DF249" w:rsidRPr="4A1A8BF6">
        <w:rPr>
          <w:color w:val="000000" w:themeColor="text1"/>
        </w:rPr>
        <w:t>four</w:t>
      </w:r>
      <w:r w:rsidRPr="4A1A8BF6">
        <w:rPr>
          <w:color w:val="000000" w:themeColor="text1"/>
        </w:rPr>
        <w:t xml:space="preserve"> </w:t>
      </w:r>
      <w:r w:rsidR="707037EB" w:rsidRPr="4A1A8BF6">
        <w:rPr>
          <w:color w:val="000000" w:themeColor="text1"/>
        </w:rPr>
        <w:t xml:space="preserve">community development </w:t>
      </w:r>
      <w:r w:rsidRPr="4A1A8BF6">
        <w:rPr>
          <w:color w:val="000000" w:themeColor="text1"/>
        </w:rPr>
        <w:t>intermediaries – Enterprise Community Partners; Housing Partnership Network; LISC/National Equity Fund; and NeighborWorks</w:t>
      </w:r>
      <w:r w:rsidR="217F58DF" w:rsidRPr="4A1A8BF6">
        <w:rPr>
          <w:color w:val="000000" w:themeColor="text1"/>
        </w:rPr>
        <w:t>.</w:t>
      </w:r>
    </w:p>
    <w:p w14:paraId="6D21BFF2" w14:textId="77777777" w:rsidR="00F52B8F" w:rsidRPr="00903FBB" w:rsidRDefault="00F52B8F" w:rsidP="02E88350">
      <w:pPr>
        <w:spacing w:line="259" w:lineRule="auto"/>
        <w:rPr>
          <w:rFonts w:cstheme="minorHAnsi"/>
        </w:rPr>
      </w:pPr>
    </w:p>
    <w:p w14:paraId="76391ABE" w14:textId="5B255B58" w:rsidR="000549D7" w:rsidRPr="00056BF6" w:rsidRDefault="7EA27A8B" w:rsidP="00F30172">
      <w:pPr>
        <w:pStyle w:val="ListParagraph"/>
        <w:numPr>
          <w:ilvl w:val="0"/>
          <w:numId w:val="16"/>
        </w:numPr>
        <w:spacing w:line="259" w:lineRule="auto"/>
        <w:rPr>
          <w:b/>
          <w:bCs/>
          <w:i/>
          <w:iCs/>
        </w:rPr>
      </w:pPr>
      <w:r w:rsidRPr="00B36264">
        <w:rPr>
          <w:b/>
          <w:bCs/>
          <w:i/>
          <w:iCs/>
        </w:rPr>
        <w:t xml:space="preserve">Different Multifamily Types </w:t>
      </w:r>
      <w:r w:rsidR="6026F09F" w:rsidRPr="00B36264">
        <w:rPr>
          <w:b/>
          <w:bCs/>
          <w:i/>
          <w:iCs/>
        </w:rPr>
        <w:t>and Estimated Market Size</w:t>
      </w:r>
      <w:r w:rsidR="00D253B4" w:rsidRPr="00056BF6">
        <w:rPr>
          <w:rStyle w:val="FootnoteReference"/>
          <w:b/>
          <w:bCs/>
          <w:i/>
          <w:iCs/>
        </w:rPr>
        <w:footnoteReference w:id="3"/>
      </w:r>
      <w:r w:rsidR="005F5222" w:rsidRPr="00056BF6">
        <w:rPr>
          <w:b/>
          <w:bCs/>
          <w:i/>
          <w:iCs/>
        </w:rPr>
        <w:t>:</w:t>
      </w:r>
    </w:p>
    <w:p w14:paraId="4166306F" w14:textId="2314165E" w:rsidR="07A84D36" w:rsidRPr="00903FBB" w:rsidRDefault="436E7204" w:rsidP="3F4756A7">
      <w:pPr>
        <w:pStyle w:val="ListParagraph"/>
        <w:numPr>
          <w:ilvl w:val="1"/>
          <w:numId w:val="16"/>
        </w:numPr>
      </w:pPr>
      <w:r>
        <w:t xml:space="preserve">Low-Income Housing Tax Credit (LIHTC) </w:t>
      </w:r>
      <w:r w:rsidR="2786A4FD">
        <w:t>program</w:t>
      </w:r>
      <w:r w:rsidR="07A84D36" w:rsidRPr="4A1A8BF6">
        <w:rPr>
          <w:rStyle w:val="FootnoteReference"/>
        </w:rPr>
        <w:footnoteReference w:id="4"/>
      </w:r>
      <w:r w:rsidR="2786A4FD">
        <w:t xml:space="preserve">: </w:t>
      </w:r>
      <w:r w:rsidR="0739A1AA">
        <w:t>Federal t</w:t>
      </w:r>
      <w:r w:rsidR="3107A34C">
        <w:t>ax credits</w:t>
      </w:r>
      <w:r w:rsidR="0369CD45">
        <w:t xml:space="preserve"> distributed through state and local agencies</w:t>
      </w:r>
      <w:r w:rsidR="3107A34C">
        <w:t xml:space="preserve"> </w:t>
      </w:r>
      <w:r w:rsidR="7C203FFF">
        <w:t xml:space="preserve">to subsidize </w:t>
      </w:r>
      <w:r w:rsidR="3107A34C">
        <w:t>the acquisition, rehabilitation, or new construction of rental housing targeted to lower-income households</w:t>
      </w:r>
      <w:r w:rsidR="35A79543">
        <w:t>.</w:t>
      </w:r>
    </w:p>
    <w:p w14:paraId="7D52E63A" w14:textId="58C3F3EB" w:rsidR="00B613A7" w:rsidRPr="00F30172" w:rsidRDefault="007544B5" w:rsidP="00F30172">
      <w:pPr>
        <w:pStyle w:val="ListParagraph"/>
        <w:numPr>
          <w:ilvl w:val="2"/>
          <w:numId w:val="16"/>
        </w:numPr>
        <w:rPr>
          <w:rFonts w:cstheme="minorHAnsi"/>
        </w:rPr>
      </w:pPr>
      <w:hyperlink r:id="rId13">
        <w:r w:rsidR="10B3341D" w:rsidRPr="00903FBB">
          <w:rPr>
            <w:rStyle w:val="Hyperlink"/>
            <w:rFonts w:cstheme="minorHAnsi"/>
          </w:rPr>
          <w:t>According to HUD</w:t>
        </w:r>
      </w:hyperlink>
      <w:r w:rsidR="10B3341D" w:rsidRPr="00903FBB">
        <w:rPr>
          <w:rFonts w:cstheme="minorHAnsi"/>
        </w:rPr>
        <w:t xml:space="preserve">, there are </w:t>
      </w:r>
      <w:r w:rsidR="3C7504F8" w:rsidRPr="00903FBB">
        <w:rPr>
          <w:rFonts w:cstheme="minorHAnsi"/>
        </w:rPr>
        <w:t>over 3.4 million units</w:t>
      </w:r>
      <w:r w:rsidR="56BBFBFB" w:rsidRPr="00903FBB">
        <w:rPr>
          <w:rFonts w:cstheme="minorHAnsi"/>
        </w:rPr>
        <w:t xml:space="preserve"> in service</w:t>
      </w:r>
      <w:r w:rsidR="3C7504F8" w:rsidRPr="00903FBB">
        <w:rPr>
          <w:rFonts w:cstheme="minorHAnsi"/>
        </w:rPr>
        <w:t xml:space="preserve"> across over 50</w:t>
      </w:r>
      <w:r w:rsidR="6AFBCB58" w:rsidRPr="00903FBB">
        <w:rPr>
          <w:rFonts w:cstheme="minorHAnsi"/>
        </w:rPr>
        <w:t xml:space="preserve">,000 </w:t>
      </w:r>
      <w:r w:rsidR="3C7504F8" w:rsidRPr="00903FBB">
        <w:rPr>
          <w:rFonts w:cstheme="minorHAnsi"/>
        </w:rPr>
        <w:t xml:space="preserve">projects </w:t>
      </w:r>
      <w:r w:rsidR="77698962" w:rsidRPr="00903FBB">
        <w:rPr>
          <w:rFonts w:cstheme="minorHAnsi"/>
        </w:rPr>
        <w:t>that received low-income housing tax credits.</w:t>
      </w:r>
    </w:p>
    <w:p w14:paraId="4E00B856" w14:textId="57C5662B" w:rsidR="0F56AC86" w:rsidRPr="00903FBB" w:rsidRDefault="00BC5EED" w:rsidP="02E88350">
      <w:pPr>
        <w:pStyle w:val="ListParagraph"/>
        <w:numPr>
          <w:ilvl w:val="1"/>
          <w:numId w:val="16"/>
        </w:numPr>
        <w:spacing w:line="259" w:lineRule="auto"/>
        <w:rPr>
          <w:rFonts w:cstheme="minorHAnsi"/>
        </w:rPr>
      </w:pPr>
      <w:r w:rsidRPr="00903FBB">
        <w:rPr>
          <w:rFonts w:cstheme="minorHAnsi"/>
        </w:rPr>
        <w:t>“Naturally Occurring Affordable Housing” (</w:t>
      </w:r>
      <w:r w:rsidR="0F56AC86" w:rsidRPr="00903FBB">
        <w:rPr>
          <w:rFonts w:cstheme="minorHAnsi"/>
        </w:rPr>
        <w:t>NOAH</w:t>
      </w:r>
      <w:r w:rsidRPr="00903FBB">
        <w:rPr>
          <w:rFonts w:cstheme="minorHAnsi"/>
        </w:rPr>
        <w:t>)</w:t>
      </w:r>
      <w:r w:rsidR="4984EA0D" w:rsidRPr="00903FBB">
        <w:rPr>
          <w:rFonts w:cstheme="minorHAnsi"/>
        </w:rPr>
        <w:t>:</w:t>
      </w:r>
      <w:r w:rsidR="6E789969" w:rsidRPr="00903FBB">
        <w:rPr>
          <w:rFonts w:cstheme="minorHAnsi"/>
        </w:rPr>
        <w:t xml:space="preserve"> </w:t>
      </w:r>
      <w:r w:rsidR="6EE0BED8" w:rsidRPr="00903FBB">
        <w:rPr>
          <w:rFonts w:cstheme="minorHAnsi"/>
        </w:rPr>
        <w:t>P</w:t>
      </w:r>
      <w:r w:rsidR="465D5C64" w:rsidRPr="00903FBB">
        <w:rPr>
          <w:rFonts w:cstheme="minorHAnsi"/>
        </w:rPr>
        <w:t xml:space="preserve">rivately-owned </w:t>
      </w:r>
      <w:r w:rsidR="29F14FF6" w:rsidRPr="00903FBB">
        <w:rPr>
          <w:rFonts w:cstheme="minorHAnsi"/>
        </w:rPr>
        <w:t xml:space="preserve">multifamily rental properties </w:t>
      </w:r>
      <w:r w:rsidR="2B83FA25" w:rsidRPr="00903FBB">
        <w:rPr>
          <w:rFonts w:cstheme="minorHAnsi"/>
        </w:rPr>
        <w:t xml:space="preserve">without </w:t>
      </w:r>
      <w:r w:rsidR="2A2236AF" w:rsidRPr="00903FBB">
        <w:rPr>
          <w:rFonts w:cstheme="minorHAnsi"/>
        </w:rPr>
        <w:t xml:space="preserve">public </w:t>
      </w:r>
      <w:r w:rsidR="2B83FA25" w:rsidRPr="00903FBB">
        <w:rPr>
          <w:rFonts w:cstheme="minorHAnsi"/>
        </w:rPr>
        <w:t xml:space="preserve">subsidy of any kind with rents below </w:t>
      </w:r>
      <w:r w:rsidR="79C062ED" w:rsidRPr="00903FBB">
        <w:rPr>
          <w:rFonts w:cstheme="minorHAnsi"/>
        </w:rPr>
        <w:t xml:space="preserve">regional </w:t>
      </w:r>
      <w:r w:rsidR="2B83FA25" w:rsidRPr="00903FBB">
        <w:rPr>
          <w:rFonts w:cstheme="minorHAnsi"/>
        </w:rPr>
        <w:t xml:space="preserve">market rate. </w:t>
      </w:r>
      <w:r w:rsidRPr="00903FBB">
        <w:rPr>
          <w:rFonts w:cstheme="minorHAnsi"/>
        </w:rPr>
        <w:t>Typically,</w:t>
      </w:r>
      <w:r w:rsidR="2B83FA25" w:rsidRPr="00903FBB">
        <w:rPr>
          <w:rFonts w:cstheme="minorHAnsi"/>
        </w:rPr>
        <w:t xml:space="preserve"> older (built pre-1990) Class B and C buildings and complexes</w:t>
      </w:r>
      <w:r w:rsidR="00A87687">
        <w:rPr>
          <w:rFonts w:cstheme="minorHAnsi"/>
        </w:rPr>
        <w:t xml:space="preserve"> </w:t>
      </w:r>
      <w:r w:rsidR="00F30172">
        <w:rPr>
          <w:rFonts w:cstheme="minorHAnsi"/>
        </w:rPr>
        <w:t xml:space="preserve">are </w:t>
      </w:r>
      <w:r w:rsidR="00A87687">
        <w:rPr>
          <w:rFonts w:cstheme="minorHAnsi"/>
        </w:rPr>
        <w:t>clustered in historically redlined areas.</w:t>
      </w:r>
    </w:p>
    <w:p w14:paraId="17D22672" w14:textId="519D768A" w:rsidR="00B613A7" w:rsidRPr="00903FBB" w:rsidRDefault="00B613A7" w:rsidP="00F30172">
      <w:pPr>
        <w:pStyle w:val="ListParagraph"/>
        <w:numPr>
          <w:ilvl w:val="2"/>
          <w:numId w:val="16"/>
        </w:numPr>
        <w:spacing w:line="259" w:lineRule="auto"/>
      </w:pPr>
      <w:hyperlink r:id="rId14" w:history="1">
        <w:r w:rsidR="5F51C475" w:rsidRPr="00B613A7">
          <w:rPr>
            <w:rStyle w:val="Hyperlink"/>
          </w:rPr>
          <w:t>According to a CoStar analysis for the Urban Land Institute</w:t>
        </w:r>
      </w:hyperlink>
      <w:r w:rsidR="2B83FA25" w:rsidRPr="575FBCA5">
        <w:t xml:space="preserve">, there are roughly 5.5 million NOAH units </w:t>
      </w:r>
      <w:r w:rsidR="67093E08" w:rsidRPr="575FBCA5">
        <w:t xml:space="preserve">(in multifamily buildings with 5+ units) </w:t>
      </w:r>
      <w:r w:rsidR="2B83FA25" w:rsidRPr="575FBCA5">
        <w:t>in the U.S.</w:t>
      </w:r>
    </w:p>
    <w:p w14:paraId="11CCA20D" w14:textId="13BABD77" w:rsidR="0F56AC86" w:rsidRPr="00903FBB" w:rsidRDefault="0F56AC86" w:rsidP="02E88350">
      <w:pPr>
        <w:pStyle w:val="ListParagraph"/>
        <w:numPr>
          <w:ilvl w:val="1"/>
          <w:numId w:val="16"/>
        </w:numPr>
        <w:spacing w:line="259" w:lineRule="auto"/>
        <w:rPr>
          <w:rFonts w:cstheme="minorHAnsi"/>
        </w:rPr>
      </w:pPr>
      <w:r w:rsidRPr="00903FBB">
        <w:rPr>
          <w:rFonts w:cstheme="minorHAnsi"/>
        </w:rPr>
        <w:t>HUD-Assisted</w:t>
      </w:r>
      <w:r w:rsidR="0C892A34" w:rsidRPr="00903FBB">
        <w:rPr>
          <w:rFonts w:cstheme="minorHAnsi"/>
        </w:rPr>
        <w:t>: Includes public housing, tenant and project-based vouchers</w:t>
      </w:r>
      <w:r w:rsidR="500D5C84" w:rsidRPr="00903FBB">
        <w:rPr>
          <w:rFonts w:cstheme="minorHAnsi"/>
        </w:rPr>
        <w:t>, as well as HUD programs like Section 202</w:t>
      </w:r>
      <w:r w:rsidR="141073D6" w:rsidRPr="00903FBB">
        <w:rPr>
          <w:rFonts w:cstheme="minorHAnsi"/>
        </w:rPr>
        <w:t xml:space="preserve">/801, </w:t>
      </w:r>
      <w:r w:rsidR="500D5C84" w:rsidRPr="00903FBB">
        <w:rPr>
          <w:rFonts w:cstheme="minorHAnsi"/>
        </w:rPr>
        <w:t>the Community Development Block Grant (CDBG)</w:t>
      </w:r>
      <w:r w:rsidR="7D0CE799" w:rsidRPr="00903FBB">
        <w:rPr>
          <w:rFonts w:cstheme="minorHAnsi"/>
        </w:rPr>
        <w:t>,</w:t>
      </w:r>
      <w:r w:rsidR="500D5C84" w:rsidRPr="00903FBB">
        <w:rPr>
          <w:rFonts w:cstheme="minorHAnsi"/>
        </w:rPr>
        <w:t xml:space="preserve"> and HOME Program</w:t>
      </w:r>
      <w:r w:rsidR="6BB42BBB" w:rsidRPr="00903FBB">
        <w:rPr>
          <w:rFonts w:cstheme="minorHAnsi"/>
        </w:rPr>
        <w:t>, to name a few</w:t>
      </w:r>
      <w:r w:rsidR="500D5C84" w:rsidRPr="00903FBB">
        <w:rPr>
          <w:rFonts w:cstheme="minorHAnsi"/>
        </w:rPr>
        <w:t>.</w:t>
      </w:r>
    </w:p>
    <w:p w14:paraId="461909E6" w14:textId="08B0AB08" w:rsidR="00B613A7" w:rsidRPr="00F30172" w:rsidRDefault="007544B5" w:rsidP="00F30172">
      <w:pPr>
        <w:pStyle w:val="ListParagraph"/>
        <w:numPr>
          <w:ilvl w:val="2"/>
          <w:numId w:val="16"/>
        </w:numPr>
        <w:spacing w:line="259" w:lineRule="auto"/>
        <w:rPr>
          <w:rFonts w:cstheme="minorHAnsi"/>
        </w:rPr>
      </w:pPr>
      <w:hyperlink r:id="rId15">
        <w:r w:rsidR="02E648D4" w:rsidRPr="00903FBB">
          <w:rPr>
            <w:rStyle w:val="Hyperlink"/>
            <w:rFonts w:cstheme="minorHAnsi"/>
          </w:rPr>
          <w:t>According to HUD</w:t>
        </w:r>
      </w:hyperlink>
      <w:r w:rsidR="02E648D4" w:rsidRPr="00903FBB">
        <w:rPr>
          <w:rFonts w:cstheme="minorHAnsi"/>
        </w:rPr>
        <w:t xml:space="preserve">, there are nearly 5.1 million HUD-Assisted </w:t>
      </w:r>
      <w:r w:rsidR="3E5EFF60" w:rsidRPr="00903FBB">
        <w:rPr>
          <w:rFonts w:cstheme="minorHAnsi"/>
        </w:rPr>
        <w:t>units</w:t>
      </w:r>
      <w:r w:rsidR="3DDACD3E" w:rsidRPr="00903FBB">
        <w:rPr>
          <w:rFonts w:cstheme="minorHAnsi"/>
        </w:rPr>
        <w:t xml:space="preserve"> housing over 9 million people</w:t>
      </w:r>
      <w:r w:rsidR="3E5EFF60" w:rsidRPr="00903FBB">
        <w:rPr>
          <w:rFonts w:cstheme="minorHAnsi"/>
        </w:rPr>
        <w:t xml:space="preserve">, not including those funded via CDBG; HOME; and </w:t>
      </w:r>
      <w:r w:rsidR="5B7A5FBA" w:rsidRPr="00903FBB">
        <w:rPr>
          <w:rFonts w:cstheme="minorHAnsi"/>
        </w:rPr>
        <w:t>Indian Housing.</w:t>
      </w:r>
    </w:p>
    <w:p w14:paraId="09BC74D8" w14:textId="5A63E21D" w:rsidR="7EA27A8B" w:rsidRPr="00903FBB" w:rsidRDefault="7EA27A8B" w:rsidP="02E88350">
      <w:pPr>
        <w:pStyle w:val="ListParagraph"/>
        <w:numPr>
          <w:ilvl w:val="1"/>
          <w:numId w:val="16"/>
        </w:numPr>
        <w:spacing w:line="259" w:lineRule="auto"/>
        <w:rPr>
          <w:rFonts w:cstheme="minorHAnsi"/>
        </w:rPr>
      </w:pPr>
      <w:r w:rsidRPr="00903FBB">
        <w:rPr>
          <w:rFonts w:cstheme="minorHAnsi"/>
        </w:rPr>
        <w:t>Fannie</w:t>
      </w:r>
      <w:r w:rsidR="712F6138" w:rsidRPr="00903FBB">
        <w:rPr>
          <w:rFonts w:cstheme="minorHAnsi"/>
        </w:rPr>
        <w:t xml:space="preserve"> Mae </w:t>
      </w:r>
      <w:r w:rsidR="2AE5195F" w:rsidRPr="00903FBB">
        <w:rPr>
          <w:rFonts w:cstheme="minorHAnsi"/>
        </w:rPr>
        <w:t xml:space="preserve">&amp; Freddie Mac: </w:t>
      </w:r>
      <w:r w:rsidR="2F598CE6" w:rsidRPr="00903FBB">
        <w:rPr>
          <w:rFonts w:cstheme="minorHAnsi"/>
        </w:rPr>
        <w:t>Facilitating a secondary market for mortgages on housing for very low-, low-, and moderate-income families</w:t>
      </w:r>
      <w:r w:rsidR="0B7FD0DA" w:rsidRPr="00903FBB">
        <w:rPr>
          <w:rFonts w:cstheme="minorHAnsi"/>
        </w:rPr>
        <w:t>, with annual goals for the number of units backed by Fannie/Freddie purchased mortgages</w:t>
      </w:r>
      <w:r w:rsidR="314FDD3C" w:rsidRPr="00903FBB">
        <w:rPr>
          <w:rFonts w:cstheme="minorHAnsi"/>
        </w:rPr>
        <w:t>; refinancing for loans supporting energy and water efficiency upgrades; and additional funding for borrowers looking to improve energy an</w:t>
      </w:r>
      <w:r w:rsidR="3D14A5C0" w:rsidRPr="00903FBB">
        <w:rPr>
          <w:rFonts w:cstheme="minorHAnsi"/>
        </w:rPr>
        <w:t>d/or water efficiency</w:t>
      </w:r>
      <w:r w:rsidR="0B7FD0DA" w:rsidRPr="00903FBB">
        <w:rPr>
          <w:rFonts w:cstheme="minorHAnsi"/>
        </w:rPr>
        <w:t>.</w:t>
      </w:r>
    </w:p>
    <w:p w14:paraId="66284554" w14:textId="60ED1BFA" w:rsidR="008368A1" w:rsidRPr="00F30172" w:rsidRDefault="007544B5" w:rsidP="00F30172">
      <w:pPr>
        <w:pStyle w:val="ListParagraph"/>
        <w:numPr>
          <w:ilvl w:val="2"/>
          <w:numId w:val="16"/>
        </w:numPr>
        <w:spacing w:line="259" w:lineRule="auto"/>
        <w:rPr>
          <w:rFonts w:cstheme="minorHAnsi"/>
        </w:rPr>
      </w:pPr>
      <w:hyperlink r:id="rId16">
        <w:r w:rsidR="4D879643" w:rsidRPr="00903FBB">
          <w:rPr>
            <w:rStyle w:val="Hyperlink"/>
            <w:rFonts w:cstheme="minorHAnsi"/>
          </w:rPr>
          <w:t>According to the FHFA</w:t>
        </w:r>
      </w:hyperlink>
      <w:r w:rsidR="4D879643" w:rsidRPr="00903FBB">
        <w:rPr>
          <w:rFonts w:cstheme="minorHAnsi"/>
        </w:rPr>
        <w:t xml:space="preserve">, there are </w:t>
      </w:r>
      <w:r w:rsidR="556C7CCB" w:rsidRPr="00903FBB">
        <w:rPr>
          <w:rFonts w:cstheme="minorHAnsi"/>
        </w:rPr>
        <w:t>nearly 750,000 low-income multifamily housing units in properties backed by mortgages purchased by Fannie Mae or Freddie</w:t>
      </w:r>
      <w:r w:rsidR="5B4EE10D" w:rsidRPr="00903FBB">
        <w:rPr>
          <w:rFonts w:cstheme="minorHAnsi"/>
        </w:rPr>
        <w:t xml:space="preserve"> Mac.</w:t>
      </w:r>
    </w:p>
    <w:p w14:paraId="6356EBD6" w14:textId="3D6EEA87" w:rsidR="7EA27A8B" w:rsidRPr="00903FBB" w:rsidRDefault="7EA27A8B" w:rsidP="02E88350">
      <w:pPr>
        <w:pStyle w:val="ListParagraph"/>
        <w:numPr>
          <w:ilvl w:val="1"/>
          <w:numId w:val="16"/>
        </w:numPr>
        <w:spacing w:line="259" w:lineRule="auto"/>
        <w:rPr>
          <w:rFonts w:cstheme="minorHAnsi"/>
        </w:rPr>
      </w:pPr>
      <w:r w:rsidRPr="00903FBB">
        <w:rPr>
          <w:rFonts w:cstheme="minorHAnsi"/>
        </w:rPr>
        <w:t xml:space="preserve">USDA </w:t>
      </w:r>
      <w:r w:rsidR="02704FCC" w:rsidRPr="00903FBB">
        <w:rPr>
          <w:rFonts w:cstheme="minorHAnsi"/>
        </w:rPr>
        <w:t>Rural Housing Service</w:t>
      </w:r>
      <w:r w:rsidR="356B99FF" w:rsidRPr="00903FBB">
        <w:rPr>
          <w:rFonts w:cstheme="minorHAnsi"/>
        </w:rPr>
        <w:t xml:space="preserve">: Includes direct loans, loan guarantees, and grants for the development and </w:t>
      </w:r>
      <w:r w:rsidR="6E6BDD2C" w:rsidRPr="00903FBB">
        <w:rPr>
          <w:rFonts w:cstheme="minorHAnsi"/>
        </w:rPr>
        <w:t xml:space="preserve">revitalization </w:t>
      </w:r>
      <w:r w:rsidR="1DDAD899" w:rsidRPr="00903FBB">
        <w:rPr>
          <w:rFonts w:cstheme="minorHAnsi"/>
        </w:rPr>
        <w:t>of multifamily housing in rural areas.</w:t>
      </w:r>
    </w:p>
    <w:p w14:paraId="2AF0973D" w14:textId="3A32C4B7" w:rsidR="63D8E55F" w:rsidRPr="00903FBB" w:rsidRDefault="007544B5" w:rsidP="2821F8AF">
      <w:pPr>
        <w:pStyle w:val="ListParagraph"/>
        <w:numPr>
          <w:ilvl w:val="2"/>
          <w:numId w:val="16"/>
        </w:numPr>
        <w:spacing w:line="259" w:lineRule="auto"/>
      </w:pPr>
      <w:hyperlink r:id="rId17" w:anchor=":~:text=Multifamily%20Housing%20utilizes%20a%20variety,in%20USDA's%20rural%20rental%20portfolio.">
        <w:r w:rsidR="064A1733" w:rsidRPr="2821F8AF">
          <w:rPr>
            <w:rStyle w:val="Hyperlink"/>
          </w:rPr>
          <w:t>According to USDA</w:t>
        </w:r>
      </w:hyperlink>
      <w:r w:rsidR="064A1733" w:rsidRPr="2821F8AF">
        <w:t>, there are over 14</w:t>
      </w:r>
      <w:r w:rsidR="1F4CB574" w:rsidRPr="2821F8AF">
        <w:t xml:space="preserve">,000 multifamily properties currently in </w:t>
      </w:r>
      <w:r w:rsidR="64601FFB" w:rsidRPr="2821F8AF">
        <w:t xml:space="preserve">the </w:t>
      </w:r>
      <w:r w:rsidR="1F4CB574" w:rsidRPr="2821F8AF">
        <w:t>USDA’s rural rental portfolio.</w:t>
      </w:r>
      <w:r w:rsidR="63D8E55F">
        <w:br/>
      </w:r>
    </w:p>
    <w:p w14:paraId="76F57872" w14:textId="00961A55" w:rsidR="63D8E55F" w:rsidRDefault="399FE9C4" w:rsidP="3F4756A7">
      <w:pPr>
        <w:pStyle w:val="ListParagraph"/>
        <w:numPr>
          <w:ilvl w:val="0"/>
          <w:numId w:val="16"/>
        </w:numPr>
        <w:spacing w:line="259" w:lineRule="auto"/>
      </w:pPr>
      <w:r>
        <w:lastRenderedPageBreak/>
        <w:t>For the purpose</w:t>
      </w:r>
      <w:r w:rsidR="30DF6469">
        <w:t>s</w:t>
      </w:r>
      <w:r>
        <w:t xml:space="preserve"> of this guide, </w:t>
      </w:r>
      <w:r w:rsidR="2BA365C5">
        <w:t>b</w:t>
      </w:r>
      <w:r>
        <w:t xml:space="preserve">uilding </w:t>
      </w:r>
      <w:r w:rsidR="4529CA9C">
        <w:t>d</w:t>
      </w:r>
      <w:r>
        <w:t xml:space="preserve">ecarbonization refers to </w:t>
      </w:r>
      <w:r w:rsidR="48C32B1F">
        <w:t xml:space="preserve">the </w:t>
      </w:r>
      <w:r>
        <w:t>reduc</w:t>
      </w:r>
      <w:r w:rsidR="4C9B1711">
        <w:t>tion</w:t>
      </w:r>
      <w:r>
        <w:t xml:space="preserve"> </w:t>
      </w:r>
      <w:r w:rsidR="2DA8644E">
        <w:t>of</w:t>
      </w:r>
      <w:r w:rsidR="4C9B1711">
        <w:t xml:space="preserve"> </w:t>
      </w:r>
      <w:r>
        <w:t xml:space="preserve">GHG emissions associated with owning and operating of a multifamily building. </w:t>
      </w:r>
      <w:r w:rsidR="33C4DF09">
        <w:t xml:space="preserve">Typically, this is done via a combination of </w:t>
      </w:r>
      <w:r w:rsidR="2B4DCC54">
        <w:t xml:space="preserve">building </w:t>
      </w:r>
      <w:r w:rsidR="33C4DF09">
        <w:t xml:space="preserve">energy efficiency approaches, electrifying </w:t>
      </w:r>
      <w:r w:rsidR="78455B78">
        <w:t xml:space="preserve">all building systems, and sourcing </w:t>
      </w:r>
      <w:r w:rsidR="5CF928DD">
        <w:t>electricity from</w:t>
      </w:r>
      <w:r w:rsidR="7C7E9374">
        <w:t xml:space="preserve"> clean,</w:t>
      </w:r>
      <w:r w:rsidR="5CF928DD">
        <w:t xml:space="preserve"> renewable sources</w:t>
      </w:r>
      <w:r w:rsidR="0E22F468">
        <w:t>.</w:t>
      </w:r>
    </w:p>
    <w:p w14:paraId="1DD3C49E" w14:textId="77777777" w:rsidR="005E7451" w:rsidRPr="00903FBB" w:rsidRDefault="005E7451" w:rsidP="007C6588">
      <w:pPr>
        <w:pStyle w:val="ListParagraph"/>
        <w:spacing w:line="259" w:lineRule="auto"/>
      </w:pPr>
    </w:p>
    <w:p w14:paraId="73B511E1" w14:textId="5EECFDD3" w:rsidR="4E4BBDD6" w:rsidRDefault="1E55CA5F" w:rsidP="4A1A8BF6">
      <w:pPr>
        <w:pStyle w:val="ListParagraph"/>
        <w:numPr>
          <w:ilvl w:val="1"/>
          <w:numId w:val="16"/>
        </w:numPr>
        <w:spacing w:line="259" w:lineRule="auto"/>
        <w:rPr>
          <w:rFonts w:eastAsia="Calibri"/>
        </w:rPr>
      </w:pPr>
      <w:r w:rsidRPr="4A1A8BF6">
        <w:rPr>
          <w:rFonts w:eastAsia="Calibri"/>
          <w:b/>
          <w:bCs/>
          <w:i/>
          <w:iCs/>
        </w:rPr>
        <w:t>Energy efficiency</w:t>
      </w:r>
      <w:r w:rsidRPr="4A1A8BF6">
        <w:rPr>
          <w:rFonts w:eastAsia="Calibri"/>
        </w:rPr>
        <w:t xml:space="preserve"> is the use of less energy to perform the same task. Energy-efficient homes and buildings use less energy for heating, cooling, </w:t>
      </w:r>
      <w:r w:rsidR="005E7451">
        <w:rPr>
          <w:rFonts w:eastAsia="Calibri"/>
        </w:rPr>
        <w:t>running appliances</w:t>
      </w:r>
      <w:r w:rsidRPr="4A1A8BF6">
        <w:rPr>
          <w:rFonts w:eastAsia="Calibri"/>
        </w:rPr>
        <w:t>, building systems and</w:t>
      </w:r>
      <w:r w:rsidR="005E7451">
        <w:rPr>
          <w:rFonts w:eastAsia="Calibri"/>
        </w:rPr>
        <w:t xml:space="preserve">, </w:t>
      </w:r>
      <w:r w:rsidRPr="4A1A8BF6">
        <w:rPr>
          <w:rFonts w:eastAsia="Calibri"/>
        </w:rPr>
        <w:t>electronics. Energy efficiency measures generally lower a property’s utility bills (electric, gas, oil and hot water)</w:t>
      </w:r>
      <w:r w:rsidR="2283D713" w:rsidRPr="4A1A8BF6">
        <w:rPr>
          <w:rFonts w:eastAsia="Calibri"/>
        </w:rPr>
        <w:t>.</w:t>
      </w:r>
    </w:p>
    <w:p w14:paraId="1830D3B8" w14:textId="77777777" w:rsidR="005E7451" w:rsidRPr="007C6588" w:rsidRDefault="005E7451" w:rsidP="007C6588">
      <w:pPr>
        <w:spacing w:line="259" w:lineRule="auto"/>
        <w:ind w:left="1080"/>
        <w:rPr>
          <w:rFonts w:eastAsia="Calibri"/>
        </w:rPr>
      </w:pPr>
    </w:p>
    <w:p w14:paraId="07962127" w14:textId="085700F1" w:rsidR="00D25D43" w:rsidRPr="00903FBB" w:rsidRDefault="629D05F9" w:rsidP="1D7C1DBF">
      <w:pPr>
        <w:pStyle w:val="ListParagraph"/>
        <w:numPr>
          <w:ilvl w:val="1"/>
          <w:numId w:val="16"/>
        </w:numPr>
        <w:spacing w:line="259" w:lineRule="auto"/>
      </w:pPr>
      <w:r w:rsidRPr="1D7C1DBF">
        <w:rPr>
          <w:rFonts w:eastAsia="Calibri"/>
          <w:b/>
          <w:bCs/>
          <w:i/>
          <w:iCs/>
        </w:rPr>
        <w:t>Building electrification</w:t>
      </w:r>
      <w:r w:rsidRPr="1D7C1DBF">
        <w:rPr>
          <w:rFonts w:eastAsia="Calibri"/>
        </w:rPr>
        <w:t xml:space="preserve"> </w:t>
      </w:r>
      <w:r w:rsidR="20CBF223" w:rsidRPr="1D7C1DBF">
        <w:rPr>
          <w:rFonts w:eastAsia="Calibri"/>
        </w:rPr>
        <w:t xml:space="preserve">entails </w:t>
      </w:r>
      <w:r w:rsidR="20CBF223" w:rsidRPr="1D7C1DBF">
        <w:t>replacing natural gas-powered furnaces, boilers, water heaters, stoves, and clothes dryers with highly efficient electric appliances</w:t>
      </w:r>
      <w:r w:rsidR="2C90BAA7" w:rsidRPr="1D7C1DBF">
        <w:t>, able to be powered by increasingly clean sources of electricity.</w:t>
      </w:r>
    </w:p>
    <w:p w14:paraId="4DE1185D" w14:textId="47DE497A" w:rsidR="02E88350" w:rsidRPr="007C6588" w:rsidRDefault="02E88350" w:rsidP="007C6588">
      <w:pPr>
        <w:pStyle w:val="Heading2"/>
        <w:rPr>
          <w:sz w:val="28"/>
          <w:szCs w:val="28"/>
        </w:rPr>
      </w:pPr>
    </w:p>
    <w:p w14:paraId="69299D5E" w14:textId="34BB47D8" w:rsidR="02E88350" w:rsidRPr="00903FBB" w:rsidRDefault="1D9B30C6" w:rsidP="007C6588">
      <w:pPr>
        <w:pStyle w:val="Heading2"/>
      </w:pPr>
      <w:r w:rsidRPr="007C6588">
        <w:rPr>
          <w:sz w:val="28"/>
          <w:szCs w:val="28"/>
        </w:rPr>
        <w:t>Policy Landscape: Existing Buildings</w:t>
      </w:r>
    </w:p>
    <w:p w14:paraId="560498E1" w14:textId="5992A3F8" w:rsidR="030BAAA4" w:rsidRPr="00903FBB" w:rsidRDefault="395CA034" w:rsidP="1D7C1DBF">
      <w:pPr>
        <w:pStyle w:val="ListParagraph"/>
        <w:numPr>
          <w:ilvl w:val="0"/>
          <w:numId w:val="15"/>
        </w:numPr>
      </w:pPr>
      <w:r w:rsidRPr="4A1A8BF6">
        <w:rPr>
          <w:b/>
          <w:bCs/>
          <w:i/>
          <w:iCs/>
        </w:rPr>
        <w:t>Federal, state, and local p</w:t>
      </w:r>
      <w:r w:rsidR="4AC70114" w:rsidRPr="4A1A8BF6">
        <w:rPr>
          <w:b/>
          <w:bCs/>
          <w:i/>
          <w:iCs/>
        </w:rPr>
        <w:t xml:space="preserve">rograms incentivizing </w:t>
      </w:r>
      <w:r w:rsidR="7B8BF6D2" w:rsidRPr="4A1A8BF6">
        <w:rPr>
          <w:b/>
          <w:bCs/>
          <w:i/>
          <w:iCs/>
        </w:rPr>
        <w:t xml:space="preserve">energy </w:t>
      </w:r>
      <w:r w:rsidR="4AC70114" w:rsidRPr="4A1A8BF6">
        <w:rPr>
          <w:b/>
          <w:bCs/>
          <w:i/>
          <w:iCs/>
        </w:rPr>
        <w:t>efficiency retrofits</w:t>
      </w:r>
      <w:r w:rsidR="02136648" w:rsidRPr="4A1A8BF6">
        <w:rPr>
          <w:b/>
          <w:bCs/>
          <w:i/>
          <w:iCs/>
        </w:rPr>
        <w:t xml:space="preserve"> in existing buildings have </w:t>
      </w:r>
      <w:r w:rsidR="71173633" w:rsidRPr="4A1A8BF6">
        <w:rPr>
          <w:b/>
          <w:bCs/>
          <w:i/>
          <w:iCs/>
        </w:rPr>
        <w:t xml:space="preserve">been in the market for some time and </w:t>
      </w:r>
      <w:r w:rsidR="109A5E6E" w:rsidRPr="4A1A8BF6">
        <w:rPr>
          <w:b/>
          <w:bCs/>
          <w:i/>
          <w:iCs/>
        </w:rPr>
        <w:t xml:space="preserve">have </w:t>
      </w:r>
      <w:r w:rsidR="71173633" w:rsidRPr="4A1A8BF6">
        <w:rPr>
          <w:b/>
          <w:bCs/>
          <w:i/>
          <w:iCs/>
        </w:rPr>
        <w:t xml:space="preserve">seen </w:t>
      </w:r>
      <w:r w:rsidR="566C6823" w:rsidRPr="4A1A8BF6">
        <w:rPr>
          <w:b/>
          <w:bCs/>
          <w:i/>
          <w:iCs/>
        </w:rPr>
        <w:t>som</w:t>
      </w:r>
      <w:r w:rsidR="71173633" w:rsidRPr="4A1A8BF6">
        <w:rPr>
          <w:b/>
          <w:bCs/>
          <w:i/>
          <w:iCs/>
        </w:rPr>
        <w:t>e success</w:t>
      </w:r>
      <w:r w:rsidR="46EC2F14" w:rsidRPr="4A1A8BF6">
        <w:rPr>
          <w:b/>
          <w:bCs/>
          <w:i/>
          <w:iCs/>
        </w:rPr>
        <w:t xml:space="preserve"> in motivating voluntary building upgrades</w:t>
      </w:r>
      <w:r w:rsidR="4AC70114" w:rsidRPr="4A1A8BF6">
        <w:rPr>
          <w:b/>
          <w:bCs/>
          <w:i/>
          <w:iCs/>
        </w:rPr>
        <w:t>, but</w:t>
      </w:r>
      <w:r w:rsidR="73C5E153" w:rsidRPr="4A1A8BF6">
        <w:rPr>
          <w:b/>
          <w:bCs/>
          <w:i/>
          <w:iCs/>
        </w:rPr>
        <w:t xml:space="preserve"> </w:t>
      </w:r>
      <w:r w:rsidR="7D153EF1" w:rsidRPr="4A1A8BF6">
        <w:rPr>
          <w:b/>
          <w:bCs/>
          <w:i/>
          <w:iCs/>
        </w:rPr>
        <w:t xml:space="preserve">requirements </w:t>
      </w:r>
      <w:r w:rsidR="73C5E153" w:rsidRPr="4A1A8BF6">
        <w:rPr>
          <w:b/>
          <w:bCs/>
          <w:i/>
          <w:iCs/>
        </w:rPr>
        <w:t xml:space="preserve">are on the </w:t>
      </w:r>
      <w:r w:rsidR="16161E37" w:rsidRPr="4A1A8BF6">
        <w:rPr>
          <w:b/>
          <w:bCs/>
          <w:i/>
          <w:iCs/>
        </w:rPr>
        <w:t>rise</w:t>
      </w:r>
      <w:r w:rsidR="73C5E153" w:rsidRPr="4A1A8BF6">
        <w:rPr>
          <w:b/>
          <w:bCs/>
          <w:i/>
          <w:iCs/>
        </w:rPr>
        <w:t>.</w:t>
      </w:r>
      <w:r w:rsidR="4AC70114">
        <w:t xml:space="preserve"> </w:t>
      </w:r>
      <w:r w:rsidR="284943CC">
        <w:t>Now, e</w:t>
      </w:r>
      <w:r w:rsidR="4AC70114">
        <w:t>merging policies at the local and st</w:t>
      </w:r>
      <w:r w:rsidR="27BEF746">
        <w:t>ate level</w:t>
      </w:r>
      <w:r w:rsidR="3F634D3A">
        <w:t xml:space="preserve"> are</w:t>
      </w:r>
      <w:r w:rsidR="27BEF746">
        <w:t xml:space="preserve"> </w:t>
      </w:r>
      <w:r w:rsidR="3B5F63D8" w:rsidRPr="4A1A8BF6">
        <w:rPr>
          <w:i/>
          <w:iCs/>
        </w:rPr>
        <w:t xml:space="preserve">mandating </w:t>
      </w:r>
      <w:r w:rsidR="6E16EA69">
        <w:t xml:space="preserve">maximum </w:t>
      </w:r>
      <w:r w:rsidR="5733FA26">
        <w:t xml:space="preserve">thresholds </w:t>
      </w:r>
      <w:r w:rsidR="3B5F63D8">
        <w:t xml:space="preserve">of building energy </w:t>
      </w:r>
      <w:r w:rsidR="086DC42A">
        <w:t xml:space="preserve">use intensity </w:t>
      </w:r>
      <w:r w:rsidR="3B5F63D8">
        <w:t xml:space="preserve">and/or emissions intensity. </w:t>
      </w:r>
      <w:r w:rsidR="24D6C241">
        <w:t>While not prescriptive, t</w:t>
      </w:r>
      <w:r w:rsidR="3B5F63D8">
        <w:t>hese policies, known as Building Performance Standards</w:t>
      </w:r>
      <w:r w:rsidR="06B834D7">
        <w:t xml:space="preserve"> or BPS for short</w:t>
      </w:r>
      <w:r w:rsidR="3B5F63D8">
        <w:t xml:space="preserve">, </w:t>
      </w:r>
      <w:r w:rsidR="43DDDF89">
        <w:t xml:space="preserve">require </w:t>
      </w:r>
      <w:r w:rsidR="3B5F63D8">
        <w:t>building</w:t>
      </w:r>
      <w:r w:rsidR="1BC03A93">
        <w:t xml:space="preserve"> owners to </w:t>
      </w:r>
      <w:r w:rsidR="0F1BB0FF" w:rsidRPr="4A1A8BF6">
        <w:rPr>
          <w:rFonts w:ascii="Calibri" w:eastAsia="Calibri" w:hAnsi="Calibri" w:cs="Calibri"/>
        </w:rPr>
        <w:t>meet energy performance targets that often necessitate investments in improved energy efficiency and building electrification</w:t>
      </w:r>
      <w:r w:rsidR="3B5F63D8">
        <w:t>.</w:t>
      </w:r>
      <w:r w:rsidR="7C9C5CAC">
        <w:t xml:space="preserve"> These policies span the geography of the U.S</w:t>
      </w:r>
      <w:r w:rsidR="46415E55">
        <w:t xml:space="preserve">., with standards already enacted in </w:t>
      </w:r>
      <w:r w:rsidR="4D438E67">
        <w:t xml:space="preserve">the </w:t>
      </w:r>
      <w:r w:rsidR="275E1C42">
        <w:t xml:space="preserve">jurisdictions </w:t>
      </w:r>
      <w:r w:rsidR="4D438E67">
        <w:t>identified below.</w:t>
      </w:r>
      <w:r w:rsidR="19BE3536">
        <w:t xml:space="preserve"> As such standards become more prevalent, lenders should be tracking these requirements in the markets they serve and developing financing products that assist the buildings they finance to comply with local mandates. This will help lenders to manage risk within their own portfolios and to help ensure competitive asset values for the properties they finance.</w:t>
      </w:r>
    </w:p>
    <w:p w14:paraId="47A64EE8" w14:textId="36DE0A44" w:rsidR="02E88350" w:rsidRPr="00903FBB" w:rsidRDefault="02E88350" w:rsidP="02E88350">
      <w:pPr>
        <w:rPr>
          <w:rFonts w:cstheme="minorHAnsi"/>
        </w:rPr>
      </w:pPr>
    </w:p>
    <w:p w14:paraId="1B06ECDE" w14:textId="15A500F1" w:rsidR="64CB6615" w:rsidRPr="00903FBB" w:rsidRDefault="64CB6615" w:rsidP="02E88350">
      <w:pPr>
        <w:rPr>
          <w:rFonts w:cstheme="minorHAnsi"/>
        </w:rPr>
      </w:pPr>
      <w:r w:rsidRPr="00903FBB">
        <w:rPr>
          <w:rFonts w:cstheme="minorHAnsi"/>
          <w:noProof/>
        </w:rPr>
        <w:lastRenderedPageBreak/>
        <w:drawing>
          <wp:inline distT="0" distB="0" distL="0" distR="0" wp14:anchorId="1DCB326A" wp14:editId="644233DD">
            <wp:extent cx="5943600" cy="4222433"/>
            <wp:effectExtent l="0" t="0" r="0" b="0"/>
            <wp:docPr id="927330258" name="Picture 927330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943600" cy="4222433"/>
                    </a:xfrm>
                    <a:prstGeom prst="rect">
                      <a:avLst/>
                    </a:prstGeom>
                  </pic:spPr>
                </pic:pic>
              </a:graphicData>
            </a:graphic>
          </wp:inline>
        </w:drawing>
      </w:r>
    </w:p>
    <w:p w14:paraId="3A9C5DF7" w14:textId="4EE7C4FF" w:rsidR="317C80BE" w:rsidRPr="00903FBB" w:rsidRDefault="317C80BE" w:rsidP="02E88350">
      <w:pPr>
        <w:rPr>
          <w:rFonts w:cstheme="minorHAnsi"/>
          <w:i/>
          <w:iCs/>
        </w:rPr>
      </w:pPr>
      <w:r w:rsidRPr="00903FBB">
        <w:rPr>
          <w:rFonts w:cstheme="minorHAnsi"/>
          <w:i/>
          <w:iCs/>
        </w:rPr>
        <w:t xml:space="preserve">Source: </w:t>
      </w:r>
      <w:hyperlink r:id="rId19">
        <w:r w:rsidRPr="00903FBB">
          <w:rPr>
            <w:rStyle w:val="Hyperlink"/>
            <w:rFonts w:cstheme="minorHAnsi"/>
            <w:i/>
            <w:iCs/>
          </w:rPr>
          <w:t>IMT.org</w:t>
        </w:r>
      </w:hyperlink>
      <w:r w:rsidRPr="00903FBB">
        <w:rPr>
          <w:rFonts w:cstheme="minorHAnsi"/>
          <w:i/>
          <w:iCs/>
        </w:rPr>
        <w:t xml:space="preserve"> </w:t>
      </w:r>
    </w:p>
    <w:p w14:paraId="48A17EF3" w14:textId="77777777" w:rsidR="008624AC" w:rsidRPr="008624AC" w:rsidRDefault="008624AC" w:rsidP="4A1A8BF6">
      <w:pPr>
        <w:pStyle w:val="ListParagraph"/>
      </w:pPr>
    </w:p>
    <w:p w14:paraId="17773C2A" w14:textId="300EF388" w:rsidR="28550F08" w:rsidRPr="00903FBB" w:rsidRDefault="120B4E6A" w:rsidP="4A1A8BF6">
      <w:pPr>
        <w:pStyle w:val="ListParagraph"/>
        <w:numPr>
          <w:ilvl w:val="0"/>
          <w:numId w:val="15"/>
        </w:numPr>
      </w:pPr>
      <w:r w:rsidRPr="4A1A8BF6">
        <w:rPr>
          <w:b/>
          <w:bCs/>
          <w:i/>
          <w:iCs/>
        </w:rPr>
        <w:t xml:space="preserve">As the targets are generally quite aggressive, anywhere from </w:t>
      </w:r>
      <w:r w:rsidR="2FE2EF28" w:rsidRPr="4A1A8BF6">
        <w:rPr>
          <w:b/>
          <w:bCs/>
          <w:i/>
          <w:iCs/>
        </w:rPr>
        <w:t>25</w:t>
      </w:r>
      <w:r w:rsidRPr="4A1A8BF6">
        <w:rPr>
          <w:b/>
          <w:bCs/>
          <w:i/>
          <w:iCs/>
        </w:rPr>
        <w:t>-50% of covered properties for a given BPS will be required to take action</w:t>
      </w:r>
      <w:r w:rsidR="7A5F3F18" w:rsidRPr="4A1A8BF6">
        <w:rPr>
          <w:b/>
          <w:bCs/>
          <w:i/>
          <w:iCs/>
        </w:rPr>
        <w:t xml:space="preserve"> in the</w:t>
      </w:r>
      <w:r w:rsidRPr="4A1A8BF6">
        <w:rPr>
          <w:b/>
          <w:bCs/>
          <w:i/>
          <w:iCs/>
        </w:rPr>
        <w:t xml:space="preserve"> </w:t>
      </w:r>
      <w:r w:rsidR="7A5F3F18" w:rsidRPr="4A1A8BF6">
        <w:rPr>
          <w:b/>
          <w:bCs/>
          <w:i/>
          <w:iCs/>
        </w:rPr>
        <w:t xml:space="preserve">form of retrofit capital projects </w:t>
      </w:r>
      <w:r w:rsidRPr="4A1A8BF6">
        <w:rPr>
          <w:b/>
          <w:bCs/>
          <w:i/>
          <w:iCs/>
        </w:rPr>
        <w:t>to comply</w:t>
      </w:r>
      <w:r w:rsidR="7CE0D99E" w:rsidRPr="4A1A8BF6">
        <w:rPr>
          <w:b/>
          <w:bCs/>
          <w:i/>
          <w:iCs/>
        </w:rPr>
        <w:t xml:space="preserve"> in the near term, and that percentage will increase as the targets ratchet </w:t>
      </w:r>
      <w:r w:rsidR="2518A7A5" w:rsidRPr="4A1A8BF6">
        <w:rPr>
          <w:b/>
          <w:bCs/>
          <w:i/>
          <w:iCs/>
        </w:rPr>
        <w:t xml:space="preserve">up </w:t>
      </w:r>
      <w:r w:rsidR="7CE0D99E" w:rsidRPr="4A1A8BF6">
        <w:rPr>
          <w:b/>
          <w:bCs/>
          <w:i/>
          <w:iCs/>
        </w:rPr>
        <w:t>over time</w:t>
      </w:r>
      <w:r>
        <w:t>.</w:t>
      </w:r>
      <w:r w:rsidR="0502CDEA">
        <w:t xml:space="preserve"> </w:t>
      </w:r>
      <w:r w:rsidR="4DDD0175">
        <w:t xml:space="preserve">The stringency of these requirements further underscores the need to ensure that developments being built now are built all-electric and highly efficient, or else they may be subject to more costly retrofits down the line. </w:t>
      </w:r>
    </w:p>
    <w:p w14:paraId="5ED87E69" w14:textId="6E48EB9B" w:rsidR="02E88350" w:rsidRPr="00903FBB" w:rsidRDefault="02E88350" w:rsidP="02E88350">
      <w:pPr>
        <w:rPr>
          <w:rFonts w:cstheme="minorHAnsi"/>
        </w:rPr>
      </w:pPr>
    </w:p>
    <w:p w14:paraId="0C8E3A69" w14:textId="338F5608" w:rsidR="5DC4CAB5" w:rsidRPr="00903FBB" w:rsidRDefault="6640A237" w:rsidP="4A1A8BF6">
      <w:pPr>
        <w:pStyle w:val="ListParagraph"/>
        <w:numPr>
          <w:ilvl w:val="0"/>
          <w:numId w:val="15"/>
        </w:numPr>
      </w:pPr>
      <w:r w:rsidRPr="4A1A8BF6">
        <w:rPr>
          <w:b/>
          <w:bCs/>
          <w:i/>
          <w:iCs/>
        </w:rPr>
        <w:t>Many more</w:t>
      </w:r>
      <w:r w:rsidR="07DDD672" w:rsidRPr="4A1A8BF6">
        <w:rPr>
          <w:b/>
          <w:bCs/>
          <w:i/>
          <w:iCs/>
        </w:rPr>
        <w:t xml:space="preserve"> B</w:t>
      </w:r>
      <w:r w:rsidR="7A0CD9B7" w:rsidRPr="4A1A8BF6">
        <w:rPr>
          <w:b/>
          <w:bCs/>
          <w:i/>
          <w:iCs/>
        </w:rPr>
        <w:t>PS</w:t>
      </w:r>
      <w:r w:rsidR="07DDD672" w:rsidRPr="4A1A8BF6">
        <w:rPr>
          <w:b/>
          <w:bCs/>
          <w:i/>
          <w:iCs/>
        </w:rPr>
        <w:t xml:space="preserve"> </w:t>
      </w:r>
      <w:r w:rsidR="44905F0F" w:rsidRPr="4A1A8BF6">
        <w:rPr>
          <w:b/>
          <w:bCs/>
          <w:i/>
          <w:iCs/>
        </w:rPr>
        <w:t xml:space="preserve">are </w:t>
      </w:r>
      <w:r w:rsidR="29058B56" w:rsidRPr="4A1A8BF6">
        <w:rPr>
          <w:b/>
          <w:bCs/>
          <w:i/>
          <w:iCs/>
        </w:rPr>
        <w:t xml:space="preserve">likely to be passed in the </w:t>
      </w:r>
      <w:r w:rsidR="5A72FC45" w:rsidRPr="4A1A8BF6">
        <w:rPr>
          <w:b/>
          <w:bCs/>
          <w:i/>
          <w:iCs/>
        </w:rPr>
        <w:t>near term.</w:t>
      </w:r>
      <w:r w:rsidR="5A72FC45" w:rsidRPr="3F4756A7">
        <w:t xml:space="preserve"> In early 2022, President Biden launched the </w:t>
      </w:r>
      <w:hyperlink r:id="rId20">
        <w:r w:rsidR="5A72FC45" w:rsidRPr="3F4756A7">
          <w:rPr>
            <w:rStyle w:val="Hyperlink"/>
            <w:color w:val="auto"/>
          </w:rPr>
          <w:t>National Building Performance Standards</w:t>
        </w:r>
        <w:r w:rsidR="64B736B0" w:rsidRPr="3F4756A7">
          <w:rPr>
            <w:rStyle w:val="Hyperlink"/>
            <w:color w:val="auto"/>
          </w:rPr>
          <w:t xml:space="preserve"> </w:t>
        </w:r>
        <w:r w:rsidR="5163E948" w:rsidRPr="3F4756A7">
          <w:rPr>
            <w:rStyle w:val="Hyperlink"/>
            <w:color w:val="auto"/>
          </w:rPr>
          <w:t>Coalitio</w:t>
        </w:r>
        <w:r w:rsidR="4BADEC2D" w:rsidRPr="3F4756A7">
          <w:rPr>
            <w:rStyle w:val="Hyperlink"/>
            <w:color w:val="auto"/>
          </w:rPr>
          <w:t>n</w:t>
        </w:r>
      </w:hyperlink>
      <w:r w:rsidR="5163E948" w:rsidRPr="3F4756A7">
        <w:t xml:space="preserve">, comprised of a group of state and local governments that have </w:t>
      </w:r>
      <w:r w:rsidR="3684F8DA" w:rsidRPr="3F4756A7">
        <w:t xml:space="preserve">formally </w:t>
      </w:r>
      <w:r w:rsidR="5163E948" w:rsidRPr="3F4756A7">
        <w:t>committed to design and implementation of BPS.</w:t>
      </w:r>
      <w:r w:rsidR="055F2082" w:rsidRPr="3F4756A7">
        <w:t xml:space="preserve"> </w:t>
      </w:r>
      <w:r w:rsidR="28871803">
        <w:t>Twenty-seven</w:t>
      </w:r>
      <w:r w:rsidR="28871803" w:rsidRPr="3F4756A7">
        <w:t xml:space="preserve"> </w:t>
      </w:r>
      <w:r w:rsidR="055F2082" w:rsidRPr="3F4756A7">
        <w:t xml:space="preserve">of the participating jurisdictions have not yet passed </w:t>
      </w:r>
      <w:r w:rsidR="746191CE" w:rsidRPr="3F4756A7">
        <w:t>BPS, and many of those are still in the early phases of policy design.</w:t>
      </w:r>
      <w:r w:rsidR="6FEE687B" w:rsidRPr="3F4756A7">
        <w:t xml:space="preserve"> This coming wave of BPS will be prioritizing emissions reductions alongside social equity goals including health,</w:t>
      </w:r>
      <w:r w:rsidR="0A2E710F" w:rsidRPr="3F4756A7">
        <w:t xml:space="preserve"> energy and housing affordability, and resilience</w:t>
      </w:r>
      <w:r w:rsidR="006E580D">
        <w:rPr>
          <w:rStyle w:val="FootnoteReference"/>
        </w:rPr>
        <w:footnoteReference w:id="5"/>
      </w:r>
      <w:r w:rsidR="05C52EB7" w:rsidRPr="3F4756A7">
        <w:t xml:space="preserve"> – with a keen eye on how the </w:t>
      </w:r>
      <w:r w:rsidR="00F00880">
        <w:t>GGRF</w:t>
      </w:r>
      <w:r w:rsidR="05C52EB7" w:rsidRPr="3F4756A7">
        <w:t xml:space="preserve"> might be leveraged to </w:t>
      </w:r>
      <w:r w:rsidR="7410CF4A" w:rsidRPr="3F4756A7">
        <w:t>assist local multifamily housing with compliance.</w:t>
      </w:r>
    </w:p>
    <w:p w14:paraId="4808C497" w14:textId="16130BEA" w:rsidR="02E88350" w:rsidRPr="00903FBB" w:rsidRDefault="02E88350" w:rsidP="02E88350">
      <w:pPr>
        <w:rPr>
          <w:rFonts w:cstheme="minorHAnsi"/>
        </w:rPr>
      </w:pPr>
    </w:p>
    <w:p w14:paraId="2853CC70" w14:textId="1C7186B3" w:rsidR="692E1EAA" w:rsidRPr="00903FBB" w:rsidRDefault="07DDD672" w:rsidP="4A1A8BF6">
      <w:pPr>
        <w:spacing w:line="259" w:lineRule="auto"/>
      </w:pPr>
      <w:r>
        <w:rPr>
          <w:noProof/>
        </w:rPr>
        <w:drawing>
          <wp:inline distT="0" distB="0" distL="0" distR="0" wp14:anchorId="59F8D54A" wp14:editId="5F60F633">
            <wp:extent cx="5966858" cy="4611886"/>
            <wp:effectExtent l="0" t="0" r="0" b="0"/>
            <wp:docPr id="1029975681" name="Picture 1029975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9975681"/>
                    <pic:cNvPicPr/>
                  </pic:nvPicPr>
                  <pic:blipFill>
                    <a:blip r:embed="rId21">
                      <a:extLst>
                        <a:ext uri="{28A0092B-C50C-407E-A947-70E740481C1C}">
                          <a14:useLocalDpi xmlns:a14="http://schemas.microsoft.com/office/drawing/2010/main" val="0"/>
                        </a:ext>
                      </a:extLst>
                    </a:blip>
                    <a:stretch>
                      <a:fillRect/>
                    </a:stretch>
                  </pic:blipFill>
                  <pic:spPr>
                    <a:xfrm>
                      <a:off x="0" y="0"/>
                      <a:ext cx="5966858" cy="4611886"/>
                    </a:xfrm>
                    <a:prstGeom prst="rect">
                      <a:avLst/>
                    </a:prstGeom>
                  </pic:spPr>
                </pic:pic>
              </a:graphicData>
            </a:graphic>
          </wp:inline>
        </w:drawing>
      </w:r>
    </w:p>
    <w:p w14:paraId="4E6C1DE7" w14:textId="3433D8ED" w:rsidR="317C80BE" w:rsidRPr="00903FBB" w:rsidRDefault="317C80BE" w:rsidP="02E88350">
      <w:pPr>
        <w:rPr>
          <w:rFonts w:cstheme="minorHAnsi"/>
          <w:i/>
          <w:iCs/>
        </w:rPr>
      </w:pPr>
      <w:r w:rsidRPr="00903FBB">
        <w:rPr>
          <w:rFonts w:cstheme="minorHAnsi"/>
          <w:i/>
          <w:iCs/>
        </w:rPr>
        <w:t xml:space="preserve">Source: </w:t>
      </w:r>
      <w:hyperlink r:id="rId22">
        <w:r w:rsidRPr="00903FBB">
          <w:rPr>
            <w:rStyle w:val="Hyperlink"/>
            <w:rFonts w:cstheme="minorHAnsi"/>
            <w:i/>
            <w:iCs/>
          </w:rPr>
          <w:t>IMT.org</w:t>
        </w:r>
      </w:hyperlink>
    </w:p>
    <w:p w14:paraId="01A947CD" w14:textId="0E8E9846" w:rsidR="02E88350" w:rsidRPr="00A37F5C" w:rsidRDefault="02E88350" w:rsidP="02E88350">
      <w:pPr>
        <w:spacing w:line="259" w:lineRule="auto"/>
        <w:rPr>
          <w:rFonts w:cstheme="minorHAnsi"/>
        </w:rPr>
      </w:pPr>
    </w:p>
    <w:p w14:paraId="0F747340" w14:textId="56621392" w:rsidR="00A37F5C" w:rsidRPr="001A5BC4" w:rsidRDefault="694C3226" w:rsidP="4A1A8BF6">
      <w:pPr>
        <w:pStyle w:val="ListParagraph"/>
        <w:numPr>
          <w:ilvl w:val="0"/>
          <w:numId w:val="31"/>
        </w:numPr>
        <w:spacing w:line="259" w:lineRule="auto"/>
      </w:pPr>
      <w:r w:rsidRPr="4A1A8BF6">
        <w:rPr>
          <w:color w:val="000000"/>
        </w:rPr>
        <w:t xml:space="preserve">In addition to BPS policies, </w:t>
      </w:r>
      <w:r w:rsidRPr="4A1A8BF6">
        <w:rPr>
          <w:b/>
          <w:bCs/>
          <w:i/>
          <w:iCs/>
          <w:color w:val="000000"/>
        </w:rPr>
        <w:t>cities and states are also considering and enacting a range of other policies and standards that incentivize energy efficiency and electrification for existing buildings.</w:t>
      </w:r>
      <w:r w:rsidRPr="4A1A8BF6">
        <w:rPr>
          <w:color w:val="000000"/>
        </w:rPr>
        <w:t xml:space="preserve"> Point-of-replacement policies, rental efficiency standards, appliance emissions standards, date-certain equipment replacement requirements, among others, are all examples different localities and states are pursuing in the path toward building decarbonization.</w:t>
      </w:r>
      <w:r w:rsidR="00A37F5C" w:rsidRPr="4A1A8BF6">
        <w:rPr>
          <w:rStyle w:val="FootnoteReference"/>
          <w:color w:val="000000"/>
        </w:rPr>
        <w:footnoteReference w:id="6"/>
      </w:r>
    </w:p>
    <w:p w14:paraId="2C17DE0C" w14:textId="77777777" w:rsidR="00D253B4" w:rsidRDefault="00D253B4" w:rsidP="00D253B4">
      <w:pPr>
        <w:spacing w:line="259" w:lineRule="auto"/>
        <w:rPr>
          <w:i/>
          <w:iCs/>
        </w:rPr>
      </w:pPr>
    </w:p>
    <w:p w14:paraId="27E66FD3" w14:textId="77777777" w:rsidR="008368A1" w:rsidRDefault="008368A1" w:rsidP="00D253B4">
      <w:pPr>
        <w:spacing w:line="259" w:lineRule="auto"/>
        <w:rPr>
          <w:i/>
          <w:iCs/>
        </w:rPr>
      </w:pPr>
    </w:p>
    <w:p w14:paraId="55205EAC" w14:textId="77777777" w:rsidR="008368A1" w:rsidRDefault="008368A1" w:rsidP="00D253B4">
      <w:pPr>
        <w:spacing w:line="259" w:lineRule="auto"/>
        <w:rPr>
          <w:i/>
          <w:iCs/>
        </w:rPr>
      </w:pPr>
    </w:p>
    <w:p w14:paraId="113CA939" w14:textId="77777777" w:rsidR="008368A1" w:rsidRDefault="008368A1" w:rsidP="00D253B4">
      <w:pPr>
        <w:spacing w:line="259" w:lineRule="auto"/>
        <w:rPr>
          <w:i/>
          <w:iCs/>
        </w:rPr>
      </w:pPr>
    </w:p>
    <w:p w14:paraId="522ED30A" w14:textId="34001072" w:rsidR="00D253B4" w:rsidRDefault="00D253B4" w:rsidP="007C6588">
      <w:pPr>
        <w:pStyle w:val="Heading2"/>
      </w:pPr>
      <w:r w:rsidRPr="007C6588">
        <w:rPr>
          <w:sz w:val="28"/>
          <w:szCs w:val="28"/>
        </w:rPr>
        <w:lastRenderedPageBreak/>
        <w:t>Policy Landscape: New Buildings</w:t>
      </w:r>
    </w:p>
    <w:p w14:paraId="7CC73C57" w14:textId="0A66EBCD" w:rsidR="02E88350" w:rsidRPr="007C6588" w:rsidRDefault="179D9588" w:rsidP="4A1A8BF6">
      <w:pPr>
        <w:pStyle w:val="ListParagraph"/>
        <w:numPr>
          <w:ilvl w:val="0"/>
          <w:numId w:val="6"/>
        </w:numPr>
        <w:spacing w:line="259" w:lineRule="auto"/>
        <w:rPr>
          <w:i/>
          <w:iCs/>
        </w:rPr>
      </w:pPr>
      <w:r w:rsidRPr="4A1A8BF6">
        <w:rPr>
          <w:b/>
          <w:bCs/>
          <w:i/>
          <w:iCs/>
        </w:rPr>
        <w:t>Most regions are increasingly requiring stringent energy efficiency codes, which can be an effective “stick” for many building owners to make energy efficient investments.</w:t>
      </w:r>
      <w:r w:rsidRPr="1D7C1DBF">
        <w:t xml:space="preserve"> </w:t>
      </w:r>
      <w:r w:rsidR="5EA5F789" w:rsidRPr="4A1A8BF6">
        <w:rPr>
          <w:color w:val="000000"/>
        </w:rPr>
        <w:t>In many cases, all-electric multifamily new construction is less costly to build than mixed fuel construction.</w:t>
      </w:r>
      <w:r w:rsidR="003C0CFE" w:rsidRPr="4A1A8BF6">
        <w:rPr>
          <w:rStyle w:val="FootnoteReference"/>
          <w:color w:val="000000"/>
        </w:rPr>
        <w:footnoteReference w:id="7"/>
      </w:r>
      <w:r w:rsidR="5EA5F789" w:rsidRPr="4A1A8BF6">
        <w:rPr>
          <w:color w:val="000000"/>
        </w:rPr>
        <w:t xml:space="preserve"> </w:t>
      </w:r>
      <w:r w:rsidRPr="1D7C1DBF">
        <w:t>Even if not directly required at the time of construction, building owners and tenants alike stand to benefit from both energy efficiency and electrification in the pursuit of fully decarbonized developments.</w:t>
      </w:r>
    </w:p>
    <w:p w14:paraId="34845BF3" w14:textId="77777777" w:rsidR="007603E2" w:rsidRPr="007603E2" w:rsidRDefault="007603E2" w:rsidP="007C6588"/>
    <w:p w14:paraId="7A05F71A" w14:textId="4113272D" w:rsidR="00674E7F" w:rsidRPr="00674E7F" w:rsidRDefault="004F4FC7" w:rsidP="00C74986">
      <w:pPr>
        <w:pStyle w:val="Heading2"/>
      </w:pPr>
      <w:r w:rsidRPr="007C6588">
        <w:rPr>
          <w:color w:val="1F3763" w:themeColor="accent1" w:themeShade="7F"/>
          <w:sz w:val="28"/>
          <w:szCs w:val="28"/>
        </w:rPr>
        <w:t>Key Players</w:t>
      </w:r>
    </w:p>
    <w:p w14:paraId="43C92C12" w14:textId="3710EA05" w:rsidR="00656EBB" w:rsidRPr="00903FBB" w:rsidRDefault="1D9C65A1" w:rsidP="007C6588">
      <w:pPr>
        <w:rPr>
          <w:i/>
          <w:iCs/>
        </w:rPr>
      </w:pPr>
      <w:r>
        <w:t>Meaningful greenhouse gas reduction in this sector will require coordination and collaboration by all players</w:t>
      </w:r>
      <w:r w:rsidR="3BAB5015">
        <w:t xml:space="preserve"> in the affordable multifamily ecosystem. A successful strategy should conside</w:t>
      </w:r>
      <w:r w:rsidR="7EEF9A25">
        <w:t>r and leverage the unique role each actor plays in deliveri</w:t>
      </w:r>
      <w:r w:rsidR="3BD207F2">
        <w:t xml:space="preserve">ng building decarbonization and </w:t>
      </w:r>
      <w:r w:rsidR="23D3A7CC">
        <w:t>quality of life improvements for residents.</w:t>
      </w:r>
      <w:r w:rsidR="693C422B">
        <w:t xml:space="preserve"> Below, we highlight some of these players and how they fit into the building decarbonization puzzle.</w:t>
      </w:r>
      <w:r w:rsidR="00AC4FF4">
        <w:br/>
      </w:r>
    </w:p>
    <w:p w14:paraId="4E068B24" w14:textId="7C24F33D" w:rsidR="775D50AA" w:rsidRPr="00903FBB" w:rsidRDefault="34E0E0AA" w:rsidP="3F4756A7">
      <w:pPr>
        <w:pStyle w:val="ListParagraph"/>
        <w:numPr>
          <w:ilvl w:val="0"/>
          <w:numId w:val="18"/>
        </w:numPr>
      </w:pPr>
      <w:r w:rsidRPr="4A1A8BF6">
        <w:rPr>
          <w:b/>
          <w:bCs/>
          <w:i/>
          <w:iCs/>
        </w:rPr>
        <w:t>Affordable Housing Owners/Developers</w:t>
      </w:r>
      <w:r w:rsidR="008C1D04">
        <w:t>:</w:t>
      </w:r>
      <w:r w:rsidR="43E2F22B">
        <w:t xml:space="preserve"> </w:t>
      </w:r>
      <w:r w:rsidR="008C1D04">
        <w:t>T</w:t>
      </w:r>
      <w:r w:rsidR="43E2F22B">
        <w:t xml:space="preserve">he entities who will make the ultimate decision to pursue building decarbonization or not – are key players to consider in the design of </w:t>
      </w:r>
      <w:r w:rsidR="00F00880">
        <w:t>GGRF</w:t>
      </w:r>
      <w:r w:rsidR="43E2F22B">
        <w:t>-related investments. The</w:t>
      </w:r>
      <w:r w:rsidR="19354498">
        <w:t xml:space="preserve"> sophistication of these </w:t>
      </w:r>
      <w:r w:rsidR="03309C27">
        <w:t xml:space="preserve">actors, which can be individuals or </w:t>
      </w:r>
      <w:r w:rsidR="22BC295C">
        <w:t xml:space="preserve">corporate </w:t>
      </w:r>
      <w:r w:rsidR="19354498">
        <w:t>entities</w:t>
      </w:r>
      <w:r w:rsidR="22BC295C">
        <w:t>,</w:t>
      </w:r>
      <w:r w:rsidR="19354498">
        <w:t xml:space="preserve"> varies widely, </w:t>
      </w:r>
      <w:r w:rsidR="71864BC4">
        <w:t xml:space="preserve">and </w:t>
      </w:r>
      <w:r w:rsidR="19354498">
        <w:t>ranges from mom-and-pop small landlords</w:t>
      </w:r>
      <w:r w:rsidR="551EC1A0">
        <w:t>,</w:t>
      </w:r>
      <w:r w:rsidR="19354498">
        <w:t xml:space="preserve"> who may own a 5-unit building</w:t>
      </w:r>
      <w:r w:rsidR="663913F7">
        <w:t>,</w:t>
      </w:r>
      <w:r w:rsidR="19354498">
        <w:t xml:space="preserve"> to </w:t>
      </w:r>
      <w:r w:rsidR="5D27206E">
        <w:t>na</w:t>
      </w:r>
      <w:r w:rsidR="19354498">
        <w:t>tional nonprofit and for-profit operators</w:t>
      </w:r>
      <w:r w:rsidR="43E2F22B">
        <w:t xml:space="preserve"> </w:t>
      </w:r>
      <w:r w:rsidR="43DD651A">
        <w:t xml:space="preserve">with thousands of units under management. In addition, a small but critical piece of the </w:t>
      </w:r>
      <w:r w:rsidR="7BD136EA">
        <w:t>ecosystem</w:t>
      </w:r>
      <w:r w:rsidR="43DD651A">
        <w:t xml:space="preserve"> are community-owned buildings, such as cooperative and community land trusts</w:t>
      </w:r>
      <w:r w:rsidR="2C453891">
        <w:t>.</w:t>
      </w:r>
    </w:p>
    <w:p w14:paraId="0F9B2F17" w14:textId="60E69C09" w:rsidR="775D50AA" w:rsidRPr="00903FBB" w:rsidRDefault="775D50AA" w:rsidP="02E88350">
      <w:pPr>
        <w:rPr>
          <w:rFonts w:cstheme="minorHAnsi"/>
        </w:rPr>
      </w:pPr>
    </w:p>
    <w:p w14:paraId="461C5D93" w14:textId="5CFAF4DC" w:rsidR="00236C39" w:rsidRPr="00903FBB" w:rsidRDefault="5F26A8D8" w:rsidP="00674E7F">
      <w:pPr>
        <w:pStyle w:val="ListParagraph"/>
        <w:numPr>
          <w:ilvl w:val="0"/>
          <w:numId w:val="18"/>
        </w:numPr>
      </w:pPr>
      <w:r w:rsidRPr="4A1A8BF6">
        <w:rPr>
          <w:b/>
          <w:bCs/>
          <w:i/>
          <w:iCs/>
        </w:rPr>
        <w:t xml:space="preserve">Private and </w:t>
      </w:r>
      <w:r w:rsidR="00236C39">
        <w:rPr>
          <w:b/>
          <w:bCs/>
          <w:i/>
          <w:iCs/>
        </w:rPr>
        <w:t>P</w:t>
      </w:r>
      <w:r w:rsidRPr="4A1A8BF6">
        <w:rPr>
          <w:b/>
          <w:bCs/>
          <w:i/>
          <w:iCs/>
        </w:rPr>
        <w:t xml:space="preserve">ublic </w:t>
      </w:r>
      <w:r w:rsidR="00236C39">
        <w:rPr>
          <w:b/>
          <w:bCs/>
          <w:i/>
          <w:iCs/>
        </w:rPr>
        <w:t>F</w:t>
      </w:r>
      <w:r w:rsidRPr="4A1A8BF6">
        <w:rPr>
          <w:b/>
          <w:bCs/>
          <w:i/>
          <w:iCs/>
        </w:rPr>
        <w:t xml:space="preserve">inancing </w:t>
      </w:r>
      <w:r w:rsidR="00236C39">
        <w:rPr>
          <w:b/>
          <w:bCs/>
          <w:i/>
          <w:iCs/>
        </w:rPr>
        <w:t>E</w:t>
      </w:r>
      <w:r w:rsidRPr="4A1A8BF6">
        <w:rPr>
          <w:b/>
          <w:bCs/>
          <w:i/>
          <w:iCs/>
        </w:rPr>
        <w:t>ntities</w:t>
      </w:r>
      <w:r w:rsidR="008C1D04">
        <w:t>: A</w:t>
      </w:r>
      <w:r w:rsidRPr="4A1A8BF6">
        <w:t xml:space="preserve">re also key players in </w:t>
      </w:r>
      <w:r w:rsidR="4A5C514A" w:rsidRPr="4A1A8BF6">
        <w:t xml:space="preserve">the </w:t>
      </w:r>
      <w:r w:rsidRPr="4A1A8BF6">
        <w:t>scaling</w:t>
      </w:r>
      <w:r w:rsidR="436DC4D1" w:rsidRPr="4A1A8BF6">
        <w:t xml:space="preserve"> of</w:t>
      </w:r>
      <w:r w:rsidRPr="4A1A8BF6">
        <w:t xml:space="preserve"> multifamily </w:t>
      </w:r>
      <w:r w:rsidR="461763D2" w:rsidRPr="4A1A8BF6">
        <w:t>decarbonization</w:t>
      </w:r>
      <w:r w:rsidR="40E23DD3" w:rsidRPr="4A1A8BF6">
        <w:t>,</w:t>
      </w:r>
      <w:r w:rsidR="24BC7664" w:rsidRPr="4A1A8BF6">
        <w:t xml:space="preserve"> and the structure of their investments will ultimately determine </w:t>
      </w:r>
      <w:r w:rsidR="32FC8A73" w:rsidRPr="4A1A8BF6">
        <w:t xml:space="preserve">how deeply projects </w:t>
      </w:r>
      <w:r w:rsidR="29CFCCBA" w:rsidRPr="4A1A8BF6">
        <w:t xml:space="preserve">can </w:t>
      </w:r>
      <w:r w:rsidR="32FC8A73" w:rsidRPr="4A1A8BF6">
        <w:t xml:space="preserve">go in </w:t>
      </w:r>
      <w:r w:rsidR="07DCDD5B" w:rsidRPr="4A1A8BF6">
        <w:t xml:space="preserve">terms of </w:t>
      </w:r>
      <w:r w:rsidR="32FC8A73" w:rsidRPr="4A1A8BF6">
        <w:t>GHG-reducing improvements</w:t>
      </w:r>
      <w:r w:rsidRPr="4A1A8BF6">
        <w:t xml:space="preserve">. </w:t>
      </w:r>
      <w:r w:rsidR="2A1DC071" w:rsidRPr="4A1A8BF6">
        <w:t>Below, key players are broken into the different categories of investment provided in the multifamily capital stack</w:t>
      </w:r>
      <w:r w:rsidR="064E6FCE" w:rsidRPr="4A1A8BF6">
        <w:t>:</w:t>
      </w:r>
    </w:p>
    <w:p w14:paraId="03E4E17C" w14:textId="77777777" w:rsidR="008C1D04" w:rsidRPr="007C6588" w:rsidRDefault="008C1D04" w:rsidP="007C6588">
      <w:pPr>
        <w:pStyle w:val="ListParagraph"/>
        <w:rPr>
          <w:b/>
          <w:bCs/>
        </w:rPr>
      </w:pPr>
    </w:p>
    <w:p w14:paraId="71198298" w14:textId="71190A66" w:rsidR="775D50AA" w:rsidRPr="007C6588" w:rsidRDefault="1394A778" w:rsidP="4A1A8BF6">
      <w:pPr>
        <w:pStyle w:val="ListParagraph"/>
        <w:numPr>
          <w:ilvl w:val="1"/>
          <w:numId w:val="18"/>
        </w:numPr>
        <w:rPr>
          <w:u w:val="single"/>
        </w:rPr>
      </w:pPr>
      <w:r w:rsidRPr="007C6588">
        <w:rPr>
          <w:u w:val="single"/>
        </w:rPr>
        <w:t>Debt</w:t>
      </w:r>
    </w:p>
    <w:p w14:paraId="55EBDFDF" w14:textId="6CEA81B8" w:rsidR="775D50AA" w:rsidRPr="00903FBB" w:rsidRDefault="1394A778" w:rsidP="4A1A8BF6">
      <w:pPr>
        <w:pStyle w:val="ListParagraph"/>
        <w:numPr>
          <w:ilvl w:val="2"/>
          <w:numId w:val="18"/>
        </w:numPr>
      </w:pPr>
      <w:r w:rsidRPr="4A1A8BF6">
        <w:rPr>
          <w:b/>
          <w:bCs/>
          <w:i/>
          <w:iCs/>
        </w:rPr>
        <w:t>Banks and Housing Finance Agencies (HFAs)</w:t>
      </w:r>
      <w:r w:rsidRPr="4A1A8BF6">
        <w:t xml:space="preserve"> will typically provide long-term, first trust loans for multifamily buildings. Banks</w:t>
      </w:r>
      <w:r w:rsidR="0D7B121D" w:rsidRPr="4A1A8BF6">
        <w:t xml:space="preserve"> may sell their loans on the secondary market to Fannie Mae or Freddie Mac</w:t>
      </w:r>
      <w:r w:rsidR="265CD660" w:rsidRPr="4A1A8BF6">
        <w:t>, or provide loans insured by the Federal Housing Administration.</w:t>
      </w:r>
      <w:r w:rsidR="30409BD4" w:rsidRPr="4A1A8BF6">
        <w:t xml:space="preserve"> HFAs are able to provide</w:t>
      </w:r>
      <w:r w:rsidR="2A955222" w:rsidRPr="4A1A8BF6">
        <w:t xml:space="preserve"> low-cost</w:t>
      </w:r>
      <w:r w:rsidR="08EE3C4C" w:rsidRPr="4A1A8BF6">
        <w:t xml:space="preserve"> </w:t>
      </w:r>
      <w:r w:rsidR="30409BD4" w:rsidRPr="4A1A8BF6">
        <w:t xml:space="preserve">loans </w:t>
      </w:r>
      <w:r w:rsidR="3E3AD1C5" w:rsidRPr="4A1A8BF6">
        <w:t xml:space="preserve">(typically in combination with 4% LIHTC) </w:t>
      </w:r>
      <w:r w:rsidR="30409BD4" w:rsidRPr="4A1A8BF6">
        <w:t>with capital raised</w:t>
      </w:r>
      <w:r w:rsidR="20BCB743" w:rsidRPr="4A1A8BF6">
        <w:t xml:space="preserve"> from investors who purchase</w:t>
      </w:r>
      <w:r w:rsidR="30409BD4" w:rsidRPr="4A1A8BF6">
        <w:t xml:space="preserve"> tax-exempt private activity bonds.</w:t>
      </w:r>
    </w:p>
    <w:p w14:paraId="579C3699" w14:textId="5489AD8D" w:rsidR="775D50AA" w:rsidRPr="00903FBB" w:rsidRDefault="5F26A8D8" w:rsidP="1D7C1DBF">
      <w:pPr>
        <w:pStyle w:val="ListParagraph"/>
        <w:numPr>
          <w:ilvl w:val="2"/>
          <w:numId w:val="18"/>
        </w:numPr>
      </w:pPr>
      <w:r w:rsidRPr="4A1A8BF6">
        <w:rPr>
          <w:b/>
          <w:bCs/>
          <w:i/>
          <w:iCs/>
        </w:rPr>
        <w:t>Mission-based lenders such as CDF</w:t>
      </w:r>
      <w:r w:rsidR="3FC9492A" w:rsidRPr="4A1A8BF6">
        <w:rPr>
          <w:b/>
          <w:bCs/>
          <w:i/>
          <w:iCs/>
        </w:rPr>
        <w:t>Is</w:t>
      </w:r>
      <w:r w:rsidR="3FC9492A">
        <w:t xml:space="preserve"> provide both early-stage financing</w:t>
      </w:r>
      <w:r w:rsidR="1DC4C958">
        <w:t xml:space="preserve"> (predevelopment; acquisition)</w:t>
      </w:r>
      <w:r w:rsidR="3FC9492A">
        <w:t xml:space="preserve"> critical to scoping out building </w:t>
      </w:r>
      <w:r w:rsidR="3FC9492A">
        <w:lastRenderedPageBreak/>
        <w:t>decarbonization pathways</w:t>
      </w:r>
      <w:r w:rsidR="2FD65606">
        <w:t>, a</w:t>
      </w:r>
      <w:r w:rsidR="0D80F71D">
        <w:t xml:space="preserve">s well as </w:t>
      </w:r>
      <w:r w:rsidR="2FD65606">
        <w:t xml:space="preserve">subordinate, gap-filling debt </w:t>
      </w:r>
      <w:r w:rsidR="48F7EC54">
        <w:t xml:space="preserve">(bridge; construction) </w:t>
      </w:r>
      <w:r w:rsidR="1D4FB442">
        <w:t xml:space="preserve">key </w:t>
      </w:r>
      <w:r w:rsidR="2FD65606">
        <w:t>to financing deeper GHG-reducing improvements</w:t>
      </w:r>
      <w:r w:rsidR="022E845B">
        <w:t>.</w:t>
      </w:r>
    </w:p>
    <w:p w14:paraId="2E1582B1" w14:textId="5628FDF5" w:rsidR="6BF6F439" w:rsidRPr="007C6588" w:rsidRDefault="05CAEEA7" w:rsidP="4A1A8BF6">
      <w:pPr>
        <w:pStyle w:val="ListParagraph"/>
        <w:numPr>
          <w:ilvl w:val="1"/>
          <w:numId w:val="18"/>
        </w:numPr>
        <w:rPr>
          <w:u w:val="single"/>
        </w:rPr>
      </w:pPr>
      <w:r w:rsidRPr="007C6588">
        <w:rPr>
          <w:u w:val="single"/>
        </w:rPr>
        <w:t>Equity</w:t>
      </w:r>
    </w:p>
    <w:p w14:paraId="7666294A" w14:textId="033DF9AF" w:rsidR="4DE03E64" w:rsidRPr="00903FBB" w:rsidRDefault="02DB460A" w:rsidP="4A1A8BF6">
      <w:pPr>
        <w:pStyle w:val="ListParagraph"/>
        <w:numPr>
          <w:ilvl w:val="2"/>
          <w:numId w:val="18"/>
        </w:numPr>
        <w:spacing w:line="259" w:lineRule="auto"/>
      </w:pPr>
      <w:r w:rsidRPr="4A1A8BF6">
        <w:rPr>
          <w:b/>
          <w:bCs/>
          <w:i/>
          <w:iCs/>
        </w:rPr>
        <w:t>The LIHTC Program,</w:t>
      </w:r>
      <w:r w:rsidR="23F55D17" w:rsidRPr="4A1A8BF6">
        <w:rPr>
          <w:b/>
          <w:bCs/>
          <w:i/>
          <w:iCs/>
        </w:rPr>
        <w:t xml:space="preserve"> the </w:t>
      </w:r>
      <w:r w:rsidR="289E0E48" w:rsidRPr="4A1A8BF6">
        <w:rPr>
          <w:b/>
          <w:bCs/>
          <w:i/>
          <w:iCs/>
        </w:rPr>
        <w:t xml:space="preserve">primary way </w:t>
      </w:r>
      <w:r w:rsidR="23F55D17" w:rsidRPr="4A1A8BF6">
        <w:rPr>
          <w:b/>
          <w:bCs/>
          <w:i/>
          <w:iCs/>
        </w:rPr>
        <w:t xml:space="preserve">affordable housing </w:t>
      </w:r>
      <w:r w:rsidR="30336A30" w:rsidRPr="4A1A8BF6">
        <w:rPr>
          <w:b/>
          <w:bCs/>
          <w:i/>
          <w:iCs/>
        </w:rPr>
        <w:t>is</w:t>
      </w:r>
      <w:r w:rsidR="23F55D17" w:rsidRPr="4A1A8BF6">
        <w:rPr>
          <w:b/>
          <w:bCs/>
          <w:i/>
          <w:iCs/>
        </w:rPr>
        <w:t xml:space="preserve"> </w:t>
      </w:r>
      <w:r w:rsidR="30336A30" w:rsidRPr="4A1A8BF6">
        <w:rPr>
          <w:b/>
          <w:bCs/>
          <w:i/>
          <w:iCs/>
        </w:rPr>
        <w:t xml:space="preserve">financed </w:t>
      </w:r>
      <w:r w:rsidR="23F55D17" w:rsidRPr="4A1A8BF6">
        <w:rPr>
          <w:b/>
          <w:bCs/>
          <w:i/>
          <w:iCs/>
        </w:rPr>
        <w:t xml:space="preserve">in the country, uses the tax code to </w:t>
      </w:r>
      <w:r w:rsidR="6D7AFB3B" w:rsidRPr="4A1A8BF6">
        <w:rPr>
          <w:b/>
          <w:bCs/>
          <w:i/>
          <w:iCs/>
        </w:rPr>
        <w:t>e</w:t>
      </w:r>
      <w:r w:rsidR="23F55D17" w:rsidRPr="4A1A8BF6">
        <w:rPr>
          <w:b/>
          <w:bCs/>
          <w:i/>
          <w:iCs/>
        </w:rPr>
        <w:t>n</w:t>
      </w:r>
      <w:r w:rsidR="6B585CF6" w:rsidRPr="4A1A8BF6">
        <w:rPr>
          <w:b/>
          <w:bCs/>
          <w:i/>
          <w:iCs/>
        </w:rPr>
        <w:t xml:space="preserve">tice equity investors </w:t>
      </w:r>
      <w:r w:rsidR="7F7F4EB0" w:rsidRPr="4A1A8BF6">
        <w:rPr>
          <w:b/>
          <w:bCs/>
          <w:i/>
          <w:iCs/>
        </w:rPr>
        <w:t>in</w:t>
      </w:r>
      <w:r w:rsidR="23F55D17" w:rsidRPr="4A1A8BF6">
        <w:rPr>
          <w:b/>
          <w:bCs/>
          <w:i/>
          <w:iCs/>
        </w:rPr>
        <w:t xml:space="preserve">to </w:t>
      </w:r>
      <w:r w:rsidR="53401456" w:rsidRPr="4A1A8BF6">
        <w:rPr>
          <w:b/>
          <w:bCs/>
          <w:i/>
          <w:iCs/>
        </w:rPr>
        <w:t>affordable housing projects</w:t>
      </w:r>
      <w:r w:rsidR="23F55D17" w:rsidRPr="4A1A8BF6">
        <w:rPr>
          <w:b/>
          <w:bCs/>
          <w:i/>
          <w:iCs/>
        </w:rPr>
        <w:t>.</w:t>
      </w:r>
      <w:r w:rsidR="783D8B43" w:rsidRPr="4A1A8BF6">
        <w:t xml:space="preserve"> In exchange for </w:t>
      </w:r>
      <w:r w:rsidR="38D83653" w:rsidRPr="4A1A8BF6">
        <w:t xml:space="preserve">federal </w:t>
      </w:r>
      <w:r w:rsidR="783D8B43" w:rsidRPr="4A1A8BF6">
        <w:t xml:space="preserve">tax credits, these investors </w:t>
      </w:r>
      <w:r w:rsidR="00236C39">
        <w:t>(</w:t>
      </w:r>
      <w:r w:rsidR="783D8B43" w:rsidRPr="4A1A8BF6">
        <w:t>or the syndicators that represent the investors)</w:t>
      </w:r>
      <w:r w:rsidR="23F55D17" w:rsidRPr="4A1A8BF6">
        <w:t xml:space="preserve"> </w:t>
      </w:r>
      <w:r w:rsidR="7AEFCA1E" w:rsidRPr="4A1A8BF6">
        <w:t xml:space="preserve">provide cash that is then used by the developer to pay for project costs. </w:t>
      </w:r>
      <w:r w:rsidR="7F173167" w:rsidRPr="4A1A8BF6">
        <w:t xml:space="preserve">LIHTC affordability requirements typically run 30 years and are supposed to structure exists that protect affordability further. </w:t>
      </w:r>
      <w:r w:rsidR="363FB7B8" w:rsidRPr="4A1A8BF6">
        <w:t xml:space="preserve">Without this level of equity infusion, most affordable housing projects would not be </w:t>
      </w:r>
      <w:r w:rsidR="12DE6633" w:rsidRPr="4A1A8BF6">
        <w:t>financially feasible.</w:t>
      </w:r>
    </w:p>
    <w:p w14:paraId="535AA3F7" w14:textId="1E0F2C90" w:rsidR="4547A485" w:rsidRPr="00903FBB" w:rsidRDefault="12DE6633" w:rsidP="1D7C1DBF">
      <w:pPr>
        <w:pStyle w:val="ListParagraph"/>
        <w:numPr>
          <w:ilvl w:val="2"/>
          <w:numId w:val="18"/>
        </w:numPr>
      </w:pPr>
      <w:r>
        <w:t xml:space="preserve">Similar to </w:t>
      </w:r>
      <w:r w:rsidR="2D04034F">
        <w:t>the</w:t>
      </w:r>
      <w:r>
        <w:t xml:space="preserve"> down</w:t>
      </w:r>
      <w:r w:rsidR="19C531BA">
        <w:t xml:space="preserve"> </w:t>
      </w:r>
      <w:r>
        <w:t>payment a homeowner would have to</w:t>
      </w:r>
      <w:r w:rsidR="2D04034F">
        <w:t xml:space="preserve"> invest in order</w:t>
      </w:r>
      <w:r>
        <w:t xml:space="preserve"> to receive a mortgage, </w:t>
      </w:r>
      <w:r w:rsidRPr="4A1A8BF6">
        <w:rPr>
          <w:b/>
          <w:bCs/>
          <w:i/>
          <w:iCs/>
        </w:rPr>
        <w:t xml:space="preserve">many affordable housing projects require some level of owner equity investment </w:t>
      </w:r>
      <w:r w:rsidR="2D04034F" w:rsidRPr="4A1A8BF6">
        <w:rPr>
          <w:b/>
          <w:bCs/>
          <w:i/>
          <w:iCs/>
        </w:rPr>
        <w:t>as part of the financing package</w:t>
      </w:r>
      <w:r>
        <w:t>.</w:t>
      </w:r>
    </w:p>
    <w:p w14:paraId="07FC2A3D" w14:textId="4D9AF715" w:rsidR="7C951760" w:rsidRPr="007C6588" w:rsidRDefault="7C67900A" w:rsidP="4A1A8BF6">
      <w:pPr>
        <w:pStyle w:val="ListParagraph"/>
        <w:numPr>
          <w:ilvl w:val="1"/>
          <w:numId w:val="18"/>
        </w:numPr>
        <w:rPr>
          <w:u w:val="single"/>
        </w:rPr>
      </w:pPr>
      <w:r w:rsidRPr="007C6588">
        <w:rPr>
          <w:u w:val="single"/>
        </w:rPr>
        <w:t>Government Subsidies</w:t>
      </w:r>
    </w:p>
    <w:p w14:paraId="1C952F61" w14:textId="2BE98820" w:rsidR="7C951760" w:rsidRPr="00903FBB" w:rsidRDefault="7C67900A" w:rsidP="1D7C1DBF">
      <w:pPr>
        <w:pStyle w:val="ListParagraph"/>
        <w:numPr>
          <w:ilvl w:val="2"/>
          <w:numId w:val="18"/>
        </w:numPr>
      </w:pPr>
      <w:r w:rsidRPr="4A1A8BF6">
        <w:rPr>
          <w:b/>
          <w:bCs/>
          <w:i/>
          <w:iCs/>
        </w:rPr>
        <w:t>Capital Subsidy/Project-Based Grants</w:t>
      </w:r>
      <w:r w:rsidR="05A09D20" w:rsidRPr="4A1A8BF6">
        <w:rPr>
          <w:b/>
          <w:bCs/>
          <w:i/>
          <w:iCs/>
        </w:rPr>
        <w:t>/</w:t>
      </w:r>
      <w:r w:rsidRPr="4A1A8BF6">
        <w:rPr>
          <w:b/>
          <w:bCs/>
          <w:i/>
          <w:iCs/>
        </w:rPr>
        <w:t>Soft Debt</w:t>
      </w:r>
      <w:r w:rsidR="75B58A09">
        <w:t xml:space="preserve"> can be provided </w:t>
      </w:r>
      <w:r w:rsidR="7C5F52FB">
        <w:t xml:space="preserve">by housing or environment departments at </w:t>
      </w:r>
      <w:r w:rsidR="75B58A09">
        <w:t xml:space="preserve">the local, state, or federal levels. These dollars are typically structured as either </w:t>
      </w:r>
      <w:r w:rsidR="4145AFF0">
        <w:t xml:space="preserve">project-based </w:t>
      </w:r>
      <w:r w:rsidR="75B58A09">
        <w:t>grants or long-term, low-interest</w:t>
      </w:r>
      <w:r w:rsidR="2A896F7E">
        <w:t>, highly subordinated</w:t>
      </w:r>
      <w:r w:rsidR="75B58A09">
        <w:t xml:space="preserve"> “soft” loans that </w:t>
      </w:r>
      <w:r w:rsidR="5D4AD7AB">
        <w:t xml:space="preserve">cover a portion of development costs and </w:t>
      </w:r>
      <w:r w:rsidR="75B58A09">
        <w:t xml:space="preserve">are </w:t>
      </w:r>
      <w:r w:rsidR="1EEC4EA9">
        <w:t xml:space="preserve">paid back based on </w:t>
      </w:r>
      <w:r w:rsidR="2320ADD7">
        <w:t xml:space="preserve">remaining cash flow. </w:t>
      </w:r>
      <w:r w:rsidR="3C07EDC0">
        <w:t>Usually,</w:t>
      </w:r>
      <w:r w:rsidR="0E806F39">
        <w:t xml:space="preserve"> these funds come with affordability </w:t>
      </w:r>
      <w:r w:rsidR="2F5052D2">
        <w:t>covenants</w:t>
      </w:r>
      <w:r w:rsidR="0E806F39">
        <w:t>.</w:t>
      </w:r>
    </w:p>
    <w:p w14:paraId="78B0C414" w14:textId="44EE4241" w:rsidR="67D75E0F" w:rsidRPr="00903FBB" w:rsidRDefault="7C67900A" w:rsidP="4A1A8BF6">
      <w:pPr>
        <w:pStyle w:val="ListParagraph"/>
        <w:numPr>
          <w:ilvl w:val="2"/>
          <w:numId w:val="18"/>
        </w:numPr>
      </w:pPr>
      <w:r w:rsidRPr="4A1A8BF6">
        <w:rPr>
          <w:b/>
          <w:bCs/>
          <w:i/>
          <w:iCs/>
        </w:rPr>
        <w:t>Operating Subsid</w:t>
      </w:r>
      <w:r w:rsidR="7A75D87C" w:rsidRPr="4A1A8BF6">
        <w:rPr>
          <w:b/>
          <w:bCs/>
          <w:i/>
          <w:iCs/>
        </w:rPr>
        <w:t>ies</w:t>
      </w:r>
      <w:r w:rsidR="003E4D98" w:rsidRPr="003E4D98">
        <w:t xml:space="preserve">, unlike </w:t>
      </w:r>
      <w:r w:rsidR="003E4D98">
        <w:t>C</w:t>
      </w:r>
      <w:r w:rsidR="003E4D98" w:rsidRPr="003E4D98">
        <w:t xml:space="preserve">apital </w:t>
      </w:r>
      <w:r w:rsidR="003E4D98">
        <w:t>S</w:t>
      </w:r>
      <w:r w:rsidR="003E4D98" w:rsidRPr="003E4D98">
        <w:t>ubsidies,</w:t>
      </w:r>
      <w:r w:rsidR="7A75D87C" w:rsidRPr="003E4D98">
        <w:t xml:space="preserve"> are</w:t>
      </w:r>
      <w:r w:rsidR="7A75D87C" w:rsidRPr="4A1A8BF6">
        <w:t xml:space="preserve"> </w:t>
      </w:r>
      <w:r w:rsidR="28C7AF90" w:rsidRPr="4A1A8BF6">
        <w:t xml:space="preserve">funds </w:t>
      </w:r>
      <w:r w:rsidR="3EB3B978" w:rsidRPr="4A1A8BF6">
        <w:t xml:space="preserve">that flow into </w:t>
      </w:r>
      <w:r w:rsidR="1EF187BD" w:rsidRPr="4A1A8BF6">
        <w:t xml:space="preserve">the project on an ongoing basis. The most common operating subsidy is HUD’s </w:t>
      </w:r>
      <w:r w:rsidR="30214469" w:rsidRPr="4A1A8BF6">
        <w:t xml:space="preserve">Housing Choice </w:t>
      </w:r>
      <w:r w:rsidR="1EF187BD" w:rsidRPr="4A1A8BF6">
        <w:t xml:space="preserve">Voucher Program, which provides monthly payments to building owners </w:t>
      </w:r>
      <w:r w:rsidR="0F0025DF" w:rsidRPr="4A1A8BF6">
        <w:t>who provide housing to low-income households</w:t>
      </w:r>
      <w:r w:rsidR="63E78043" w:rsidRPr="4A1A8BF6">
        <w:t xml:space="preserve"> and</w:t>
      </w:r>
      <w:r w:rsidR="1EF187BD" w:rsidRPr="4A1A8BF6">
        <w:t xml:space="preserve"> can either be tenant- or project-based.</w:t>
      </w:r>
    </w:p>
    <w:p w14:paraId="2EC40E43" w14:textId="77777777" w:rsidR="00174D4E" w:rsidRPr="00174D4E" w:rsidRDefault="00174D4E" w:rsidP="00174D4E">
      <w:pPr>
        <w:spacing w:line="259" w:lineRule="auto"/>
        <w:rPr>
          <w:rFonts w:cstheme="minorHAnsi"/>
        </w:rPr>
      </w:pPr>
    </w:p>
    <w:p w14:paraId="01A33743" w14:textId="4B39D0A2" w:rsidR="4D146B59" w:rsidRPr="00903FBB" w:rsidRDefault="017FB229" w:rsidP="4A1A8BF6">
      <w:pPr>
        <w:pStyle w:val="ListParagraph"/>
        <w:numPr>
          <w:ilvl w:val="0"/>
          <w:numId w:val="18"/>
        </w:numPr>
        <w:spacing w:line="259" w:lineRule="auto"/>
      </w:pPr>
      <w:r w:rsidRPr="4A1A8BF6">
        <w:rPr>
          <w:b/>
          <w:bCs/>
          <w:i/>
          <w:iCs/>
        </w:rPr>
        <w:t>Another core component of a successful multifamily building decarbonization strategy include</w:t>
      </w:r>
      <w:r w:rsidR="561B059D" w:rsidRPr="4A1A8BF6">
        <w:rPr>
          <w:b/>
          <w:bCs/>
          <w:i/>
          <w:iCs/>
        </w:rPr>
        <w:t>s</w:t>
      </w:r>
      <w:r w:rsidRPr="4A1A8BF6">
        <w:rPr>
          <w:b/>
          <w:bCs/>
          <w:i/>
          <w:iCs/>
        </w:rPr>
        <w:t xml:space="preserve"> the technical expertise provided by building science</w:t>
      </w:r>
      <w:r w:rsidR="2619AC3C" w:rsidRPr="4A1A8BF6">
        <w:rPr>
          <w:b/>
          <w:bCs/>
          <w:i/>
          <w:iCs/>
        </w:rPr>
        <w:t xml:space="preserve"> firms, </w:t>
      </w:r>
      <w:r w:rsidR="2222B526" w:rsidRPr="4A1A8BF6">
        <w:rPr>
          <w:b/>
          <w:bCs/>
          <w:i/>
          <w:iCs/>
        </w:rPr>
        <w:t>architecture</w:t>
      </w:r>
      <w:r w:rsidR="2619AC3C" w:rsidRPr="4A1A8BF6">
        <w:rPr>
          <w:b/>
          <w:bCs/>
          <w:i/>
          <w:iCs/>
        </w:rPr>
        <w:t xml:space="preserve"> and engineering, the building</w:t>
      </w:r>
      <w:r w:rsidRPr="4A1A8BF6">
        <w:rPr>
          <w:b/>
          <w:bCs/>
          <w:i/>
          <w:iCs/>
        </w:rPr>
        <w:t xml:space="preserve"> trades</w:t>
      </w:r>
      <w:r w:rsidR="26DD87AF" w:rsidRPr="4A1A8BF6">
        <w:rPr>
          <w:b/>
          <w:bCs/>
          <w:i/>
          <w:iCs/>
        </w:rPr>
        <w:t>, and energy technology software</w:t>
      </w:r>
      <w:r w:rsidRPr="4A1A8BF6">
        <w:t xml:space="preserve">. Any energy efficiency or </w:t>
      </w:r>
      <w:r w:rsidR="5D00877D" w:rsidRPr="4A1A8BF6">
        <w:t xml:space="preserve">electrification process will necessarily involve </w:t>
      </w:r>
      <w:r w:rsidR="3257C6DE" w:rsidRPr="4A1A8BF6">
        <w:t>these players.</w:t>
      </w:r>
      <w:r w:rsidR="501605F8" w:rsidRPr="4A1A8BF6">
        <w:t xml:space="preserve"> These players range enormously in their knowledge, skills, sophistication, access to building components and techno</w:t>
      </w:r>
      <w:r w:rsidR="434B07A6" w:rsidRPr="4A1A8BF6">
        <w:t>log</w:t>
      </w:r>
      <w:r w:rsidR="501605F8" w:rsidRPr="4A1A8BF6">
        <w:t xml:space="preserve">ies, and ability to access </w:t>
      </w:r>
      <w:r w:rsidR="434B07A6" w:rsidRPr="4A1A8BF6">
        <w:t xml:space="preserve">working capital across </w:t>
      </w:r>
      <w:r w:rsidR="21A585DB" w:rsidRPr="4A1A8BF6">
        <w:t>types and sizes of firms, geographic regions, etc.</w:t>
      </w:r>
    </w:p>
    <w:p w14:paraId="05693C74" w14:textId="022D72E2" w:rsidR="02E88350" w:rsidRPr="00903FBB" w:rsidRDefault="02E88350" w:rsidP="02E88350">
      <w:pPr>
        <w:spacing w:line="259" w:lineRule="auto"/>
        <w:rPr>
          <w:rFonts w:cstheme="minorHAnsi"/>
        </w:rPr>
      </w:pPr>
    </w:p>
    <w:p w14:paraId="4F5EBE95" w14:textId="05071B33" w:rsidR="5E90AEDA" w:rsidRPr="00903FBB" w:rsidRDefault="09899172" w:rsidP="4A1A8BF6">
      <w:pPr>
        <w:pStyle w:val="ListParagraph"/>
        <w:numPr>
          <w:ilvl w:val="0"/>
          <w:numId w:val="18"/>
        </w:numPr>
        <w:spacing w:line="259" w:lineRule="auto"/>
        <w:rPr>
          <w:rFonts w:eastAsia="Calibri"/>
        </w:rPr>
      </w:pPr>
      <w:r w:rsidRPr="4A1A8BF6">
        <w:rPr>
          <w:rFonts w:eastAsia="Calibri"/>
          <w:b/>
          <w:bCs/>
          <w:i/>
          <w:iCs/>
        </w:rPr>
        <w:t>Community-based and grassroots nonprofits</w:t>
      </w:r>
      <w:r w:rsidR="0AE66325" w:rsidRPr="4A1A8BF6">
        <w:rPr>
          <w:rFonts w:eastAsia="Calibri"/>
          <w:b/>
          <w:bCs/>
          <w:i/>
          <w:iCs/>
        </w:rPr>
        <w:t xml:space="preserve"> focused on tenant organizing</w:t>
      </w:r>
      <w:r w:rsidRPr="4A1A8BF6">
        <w:rPr>
          <w:rFonts w:eastAsia="Calibri"/>
          <w:b/>
          <w:bCs/>
          <w:i/>
          <w:iCs/>
        </w:rPr>
        <w:t xml:space="preserve"> have long been engaged in </w:t>
      </w:r>
      <w:r w:rsidR="02D252B7" w:rsidRPr="4A1A8BF6">
        <w:rPr>
          <w:rFonts w:eastAsia="Calibri"/>
          <w:b/>
          <w:bCs/>
          <w:i/>
          <w:iCs/>
        </w:rPr>
        <w:t>advocating for</w:t>
      </w:r>
      <w:r w:rsidRPr="4A1A8BF6">
        <w:rPr>
          <w:rFonts w:eastAsia="Calibri"/>
          <w:b/>
          <w:bCs/>
          <w:i/>
          <w:iCs/>
        </w:rPr>
        <w:t xml:space="preserve"> </w:t>
      </w:r>
      <w:r w:rsidR="73BBC562" w:rsidRPr="4A1A8BF6">
        <w:rPr>
          <w:rFonts w:eastAsia="Calibri"/>
          <w:b/>
          <w:bCs/>
          <w:i/>
          <w:iCs/>
        </w:rPr>
        <w:t xml:space="preserve">the creation and preservation of </w:t>
      </w:r>
      <w:r w:rsidR="4C905C49" w:rsidRPr="4A1A8BF6">
        <w:rPr>
          <w:rFonts w:eastAsia="Calibri"/>
          <w:b/>
          <w:bCs/>
          <w:i/>
          <w:iCs/>
        </w:rPr>
        <w:t xml:space="preserve">affordable housing </w:t>
      </w:r>
      <w:r w:rsidRPr="4A1A8BF6">
        <w:rPr>
          <w:rFonts w:eastAsia="Calibri"/>
          <w:b/>
          <w:bCs/>
          <w:i/>
          <w:iCs/>
        </w:rPr>
        <w:t>that respond</w:t>
      </w:r>
      <w:r w:rsidR="17AF1722" w:rsidRPr="4A1A8BF6">
        <w:rPr>
          <w:rFonts w:eastAsia="Calibri"/>
          <w:b/>
          <w:bCs/>
          <w:i/>
          <w:iCs/>
        </w:rPr>
        <w:t>s</w:t>
      </w:r>
      <w:r w:rsidRPr="4A1A8BF6">
        <w:rPr>
          <w:rFonts w:eastAsia="Calibri"/>
          <w:b/>
          <w:bCs/>
          <w:i/>
          <w:iCs/>
        </w:rPr>
        <w:t xml:space="preserve"> to local needs and </w:t>
      </w:r>
      <w:r w:rsidR="0C78FA51" w:rsidRPr="4A1A8BF6">
        <w:rPr>
          <w:rFonts w:eastAsia="Calibri"/>
          <w:b/>
          <w:bCs/>
          <w:i/>
          <w:iCs/>
        </w:rPr>
        <w:t xml:space="preserve">tenant </w:t>
      </w:r>
      <w:r w:rsidRPr="4A1A8BF6">
        <w:rPr>
          <w:rFonts w:eastAsia="Calibri"/>
          <w:b/>
          <w:bCs/>
          <w:i/>
          <w:iCs/>
        </w:rPr>
        <w:t>priorities.</w:t>
      </w:r>
      <w:r w:rsidRPr="4A1A8BF6">
        <w:rPr>
          <w:rFonts w:eastAsia="Calibri"/>
        </w:rPr>
        <w:t xml:space="preserve"> </w:t>
      </w:r>
      <w:r w:rsidR="096B9BAB" w:rsidRPr="4A1A8BF6">
        <w:rPr>
          <w:rFonts w:eastAsia="Calibri"/>
        </w:rPr>
        <w:t xml:space="preserve">While some </w:t>
      </w:r>
      <w:r w:rsidRPr="4A1A8BF6">
        <w:rPr>
          <w:rFonts w:eastAsia="Calibri"/>
        </w:rPr>
        <w:t xml:space="preserve">groups may already have a </w:t>
      </w:r>
      <w:r w:rsidR="41959619" w:rsidRPr="4A1A8BF6">
        <w:rPr>
          <w:rFonts w:eastAsia="Calibri"/>
        </w:rPr>
        <w:t xml:space="preserve">specific </w:t>
      </w:r>
      <w:r w:rsidRPr="4A1A8BF6">
        <w:rPr>
          <w:rFonts w:eastAsia="Calibri"/>
        </w:rPr>
        <w:t xml:space="preserve">environmental justice or energy justice </w:t>
      </w:r>
      <w:r w:rsidR="7046375C" w:rsidRPr="4A1A8BF6">
        <w:rPr>
          <w:rFonts w:eastAsia="Calibri"/>
        </w:rPr>
        <w:t>lens</w:t>
      </w:r>
      <w:r w:rsidRPr="4A1A8BF6">
        <w:rPr>
          <w:rFonts w:eastAsia="Calibri"/>
        </w:rPr>
        <w:t>,</w:t>
      </w:r>
      <w:r w:rsidR="46AA856B" w:rsidRPr="4A1A8BF6">
        <w:rPr>
          <w:rFonts w:eastAsia="Calibri"/>
        </w:rPr>
        <w:t xml:space="preserve"> </w:t>
      </w:r>
      <w:r w:rsidR="09B1BF9F" w:rsidRPr="4A1A8BF6">
        <w:rPr>
          <w:rFonts w:eastAsia="Calibri"/>
        </w:rPr>
        <w:t>many do not</w:t>
      </w:r>
      <w:r w:rsidRPr="4A1A8BF6">
        <w:rPr>
          <w:rFonts w:eastAsia="Calibri"/>
        </w:rPr>
        <w:t>.</w:t>
      </w:r>
      <w:r w:rsidR="0D12BC59" w:rsidRPr="4A1A8BF6">
        <w:rPr>
          <w:rFonts w:eastAsia="Calibri"/>
        </w:rPr>
        <w:t xml:space="preserve"> Connecting the dots between building decarbonization and tenant health outcomes, addressing </w:t>
      </w:r>
      <w:r w:rsidR="0D12BC59" w:rsidRPr="4A1A8BF6">
        <w:rPr>
          <w:rFonts w:eastAsia="Calibri"/>
        </w:rPr>
        <w:lastRenderedPageBreak/>
        <w:t xml:space="preserve">concerns about temporary relocation due to deep energy retrofits, </w:t>
      </w:r>
      <w:r w:rsidR="31730D7B" w:rsidRPr="4A1A8BF6">
        <w:rPr>
          <w:rFonts w:eastAsia="Calibri"/>
        </w:rPr>
        <w:t>and addressing split incentive issues are some of the top priorities many groups will want to see addressed in any decarbonization strategy.</w:t>
      </w:r>
    </w:p>
    <w:p w14:paraId="48F19570" w14:textId="0E1026C3" w:rsidR="5E90AEDA" w:rsidRPr="00903FBB" w:rsidRDefault="5E90AEDA" w:rsidP="02E88350">
      <w:pPr>
        <w:spacing w:line="259" w:lineRule="auto"/>
        <w:rPr>
          <w:rFonts w:eastAsia="Calibri" w:cstheme="minorHAnsi"/>
        </w:rPr>
      </w:pPr>
    </w:p>
    <w:p w14:paraId="1DCC189E" w14:textId="40D3201B" w:rsidR="5E90AEDA" w:rsidRPr="00C74986" w:rsidRDefault="5CD7EDBD" w:rsidP="00BD6A72">
      <w:pPr>
        <w:pStyle w:val="ListParagraph"/>
        <w:numPr>
          <w:ilvl w:val="0"/>
          <w:numId w:val="18"/>
        </w:numPr>
        <w:spacing w:line="259" w:lineRule="auto"/>
        <w:rPr>
          <w:rFonts w:cstheme="minorHAnsi"/>
        </w:rPr>
      </w:pPr>
      <w:r w:rsidRPr="4A1A8BF6">
        <w:rPr>
          <w:b/>
          <w:bCs/>
          <w:i/>
          <w:iCs/>
        </w:rPr>
        <w:t xml:space="preserve">Local </w:t>
      </w:r>
      <w:r w:rsidR="502EFBDE" w:rsidRPr="4A1A8BF6">
        <w:rPr>
          <w:b/>
          <w:bCs/>
          <w:i/>
          <w:iCs/>
        </w:rPr>
        <w:t>u</w:t>
      </w:r>
      <w:r w:rsidRPr="4A1A8BF6">
        <w:rPr>
          <w:b/>
          <w:bCs/>
          <w:i/>
          <w:iCs/>
        </w:rPr>
        <w:t>tilities and other energy efficiency entities</w:t>
      </w:r>
      <w:r w:rsidR="008C1D04">
        <w:rPr>
          <w:b/>
          <w:bCs/>
          <w:i/>
          <w:iCs/>
        </w:rPr>
        <w:t>:</w:t>
      </w:r>
      <w:r w:rsidRPr="1D7C1DBF">
        <w:t xml:space="preserve"> </w:t>
      </w:r>
      <w:r w:rsidR="1664BA29" w:rsidRPr="1D7C1DBF">
        <w:t>(</w:t>
      </w:r>
      <w:hyperlink r:id="rId23" w:history="1">
        <w:r w:rsidR="1664BA29" w:rsidRPr="00FE2AD2">
          <w:rPr>
            <w:rStyle w:val="Hyperlink"/>
          </w:rPr>
          <w:t>NYSERDA</w:t>
        </w:r>
      </w:hyperlink>
      <w:r w:rsidR="1664BA29" w:rsidRPr="1D7C1DBF">
        <w:t xml:space="preserve">; </w:t>
      </w:r>
      <w:hyperlink r:id="rId24" w:history="1">
        <w:r w:rsidR="1664BA29" w:rsidRPr="00392D44">
          <w:rPr>
            <w:rStyle w:val="Hyperlink"/>
          </w:rPr>
          <w:t>Mass Save</w:t>
        </w:r>
      </w:hyperlink>
      <w:r w:rsidR="1664BA29" w:rsidRPr="1D7C1DBF">
        <w:t>; etc.) also play a key role in building decarbonization.</w:t>
      </w:r>
      <w:r w:rsidR="006F5ADF">
        <w:rPr>
          <w:rStyle w:val="FootnoteReference"/>
        </w:rPr>
        <w:footnoteReference w:id="8"/>
      </w:r>
      <w:r w:rsidR="1664BA29" w:rsidRPr="1D7C1DBF">
        <w:t xml:space="preserve"> Many </w:t>
      </w:r>
      <w:r w:rsidR="101086C3" w:rsidRPr="1D7C1DBF">
        <w:t xml:space="preserve">of these entities </w:t>
      </w:r>
      <w:r w:rsidR="1664BA29" w:rsidRPr="1D7C1DBF">
        <w:t>have energy efficiency programs that affordable</w:t>
      </w:r>
      <w:r w:rsidR="3C3C10A6" w:rsidRPr="1D7C1DBF">
        <w:t xml:space="preserve"> multifamily</w:t>
      </w:r>
      <w:r w:rsidR="1664BA29" w:rsidRPr="1D7C1DBF">
        <w:t xml:space="preserve"> owners </w:t>
      </w:r>
      <w:r w:rsidR="6025A9AA" w:rsidRPr="1D7C1DBF">
        <w:rPr>
          <w:rFonts w:ascii="Calibri" w:eastAsia="Calibri" w:hAnsi="Calibri" w:cs="Calibri"/>
        </w:rPr>
        <w:t>can use to buy down the cost of decarbonization and to access technical services to assist with implementation</w:t>
      </w:r>
      <w:r w:rsidR="1664BA29" w:rsidRPr="1D7C1DBF">
        <w:t>. Public Utility Commissions are also key entit</w:t>
      </w:r>
      <w:r w:rsidR="061E734F" w:rsidRPr="1D7C1DBF">
        <w:t>ies</w:t>
      </w:r>
      <w:r w:rsidR="1664BA29" w:rsidRPr="1D7C1DBF">
        <w:t xml:space="preserve"> that </w:t>
      </w:r>
      <w:r w:rsidR="03DE4054" w:rsidRPr="1D7C1DBF">
        <w:t>can set policies and regulations utilities must follow in relation to building decarbonization and potential grant programs.</w:t>
      </w:r>
      <w:r w:rsidR="5BC41059">
        <w:br/>
      </w:r>
    </w:p>
    <w:p w14:paraId="2E713568" w14:textId="59186080" w:rsidR="001314EC" w:rsidRPr="00BD6A72" w:rsidRDefault="004F4FC7" w:rsidP="00C74986">
      <w:pPr>
        <w:pStyle w:val="Heading2"/>
        <w:rPr>
          <w:sz w:val="28"/>
          <w:szCs w:val="28"/>
        </w:rPr>
      </w:pPr>
      <w:r w:rsidRPr="00BD6A72">
        <w:rPr>
          <w:sz w:val="28"/>
          <w:szCs w:val="28"/>
        </w:rPr>
        <w:t xml:space="preserve">Social </w:t>
      </w:r>
      <w:r w:rsidR="001314EC" w:rsidRPr="00BD6A72">
        <w:rPr>
          <w:sz w:val="28"/>
          <w:szCs w:val="28"/>
        </w:rPr>
        <w:t>E</w:t>
      </w:r>
      <w:r w:rsidRPr="00BD6A72">
        <w:rPr>
          <w:sz w:val="28"/>
          <w:szCs w:val="28"/>
        </w:rPr>
        <w:t xml:space="preserve">quity </w:t>
      </w:r>
      <w:r w:rsidR="001314EC" w:rsidRPr="00BD6A72">
        <w:rPr>
          <w:sz w:val="28"/>
          <w:szCs w:val="28"/>
        </w:rPr>
        <w:t>C</w:t>
      </w:r>
      <w:r w:rsidRPr="00BD6A72">
        <w:rPr>
          <w:sz w:val="28"/>
          <w:szCs w:val="28"/>
        </w:rPr>
        <w:t>oncerns</w:t>
      </w:r>
    </w:p>
    <w:p w14:paraId="46F6FA8F" w14:textId="467E41B7" w:rsidR="000101F0" w:rsidRPr="008F7A45" w:rsidRDefault="491C830B" w:rsidP="00BD6A72">
      <w:pPr>
        <w:rPr>
          <w:i/>
          <w:iCs/>
        </w:rPr>
      </w:pPr>
      <w:r>
        <w:t>I</w:t>
      </w:r>
      <w:r w:rsidR="18457F91">
        <w:t>f designed</w:t>
      </w:r>
      <w:r w:rsidR="264C8A6D">
        <w:t xml:space="preserve"> and implemented</w:t>
      </w:r>
      <w:r w:rsidR="18457F91">
        <w:t xml:space="preserve"> well, i</w:t>
      </w:r>
      <w:r>
        <w:t xml:space="preserve">nvestments </w:t>
      </w:r>
      <w:r w:rsidR="5F86F0E3">
        <w:t xml:space="preserve">in energy efficiency and electrification </w:t>
      </w:r>
      <w:r w:rsidR="5392D4E3">
        <w:t xml:space="preserve">can </w:t>
      </w:r>
      <w:r w:rsidR="5581CB4C">
        <w:t xml:space="preserve">significantly address economic and racial inequities </w:t>
      </w:r>
      <w:r w:rsidR="5581CB4C">
        <w:t xml:space="preserve">across a number of </w:t>
      </w:r>
      <w:r w:rsidR="5581CB4C">
        <w:t>outcomes</w:t>
      </w:r>
      <w:r w:rsidR="64452872">
        <w:t>,</w:t>
      </w:r>
      <w:r w:rsidR="5581CB4C">
        <w:t xml:space="preserve"> from health to </w:t>
      </w:r>
      <w:r w:rsidR="7831A89F">
        <w:t xml:space="preserve">supporting </w:t>
      </w:r>
      <w:r w:rsidR="5581CB4C">
        <w:t>wealth creation.</w:t>
      </w:r>
      <w:r w:rsidR="0D34D1B3">
        <w:t xml:space="preserve"> However, if these goals and considerations are not centered at the beginning of a building decarbonization strategy, </w:t>
      </w:r>
      <w:r w:rsidR="5BA14702">
        <w:t xml:space="preserve">investments have the potential to exacerbate </w:t>
      </w:r>
      <w:r w:rsidR="168327D1">
        <w:t>existing</w:t>
      </w:r>
      <w:r w:rsidR="5BA14702">
        <w:t xml:space="preserve"> inequities.</w:t>
      </w:r>
      <w:r>
        <w:t xml:space="preserve"> </w:t>
      </w:r>
      <w:r w:rsidR="017B27FC">
        <w:t xml:space="preserve">Below, we discuss </w:t>
      </w:r>
      <w:r>
        <w:t>some important issues to keep in mind</w:t>
      </w:r>
      <w:r w:rsidR="327E5C4E">
        <w:t>, as well as key</w:t>
      </w:r>
      <w:r w:rsidR="7B59EB60">
        <w:t xml:space="preserve"> </w:t>
      </w:r>
      <w:r>
        <w:t xml:space="preserve">opportunities to </w:t>
      </w:r>
      <w:r w:rsidR="039A0C14">
        <w:t xml:space="preserve">further </w:t>
      </w:r>
      <w:r>
        <w:t>environmental justice.</w:t>
      </w:r>
      <w:r w:rsidR="000101F0">
        <w:br/>
      </w:r>
    </w:p>
    <w:p w14:paraId="4BAB2C2A" w14:textId="59087068" w:rsidR="00C25C90" w:rsidRPr="00BD6A72" w:rsidRDefault="2518A7A5" w:rsidP="4A1A8BF6">
      <w:pPr>
        <w:pStyle w:val="ListParagraph"/>
        <w:numPr>
          <w:ilvl w:val="0"/>
          <w:numId w:val="1"/>
        </w:numPr>
        <w:spacing w:line="259" w:lineRule="auto"/>
        <w:rPr>
          <w:i/>
          <w:iCs/>
        </w:rPr>
      </w:pPr>
      <w:r w:rsidRPr="00BD6A72">
        <w:rPr>
          <w:b/>
          <w:bCs/>
          <w:i/>
          <w:iCs/>
        </w:rPr>
        <w:t>Energy Burden</w:t>
      </w:r>
      <w:r w:rsidR="007603E2" w:rsidRPr="00BD6A72">
        <w:rPr>
          <w:b/>
          <w:bCs/>
          <w:i/>
          <w:iCs/>
        </w:rPr>
        <w:t>:</w:t>
      </w:r>
    </w:p>
    <w:p w14:paraId="704B2B51" w14:textId="3BA71F78" w:rsidR="00C25C90" w:rsidRPr="00903FBB" w:rsidRDefault="2C7E001B" w:rsidP="3F4756A7">
      <w:pPr>
        <w:pStyle w:val="ListParagraph"/>
        <w:numPr>
          <w:ilvl w:val="1"/>
          <w:numId w:val="15"/>
        </w:numPr>
        <w:spacing w:line="259" w:lineRule="auto"/>
      </w:pPr>
      <w:r w:rsidRPr="4A1A8BF6">
        <w:rPr>
          <w:b/>
          <w:bCs/>
          <w:i/>
          <w:iCs/>
        </w:rPr>
        <w:t xml:space="preserve">Not only does decarbonization stand to dramatically reduce emissions, </w:t>
      </w:r>
      <w:r w:rsidR="491F94CA" w:rsidRPr="4A1A8BF6">
        <w:rPr>
          <w:b/>
          <w:bCs/>
          <w:i/>
          <w:iCs/>
        </w:rPr>
        <w:t xml:space="preserve">such investments </w:t>
      </w:r>
      <w:r w:rsidRPr="4A1A8BF6">
        <w:rPr>
          <w:b/>
          <w:bCs/>
          <w:i/>
          <w:iCs/>
        </w:rPr>
        <w:t>also ha</w:t>
      </w:r>
      <w:r w:rsidR="491F94CA" w:rsidRPr="4A1A8BF6">
        <w:rPr>
          <w:b/>
          <w:bCs/>
          <w:i/>
          <w:iCs/>
        </w:rPr>
        <w:t>ve</w:t>
      </w:r>
      <w:r w:rsidRPr="4A1A8BF6">
        <w:rPr>
          <w:b/>
          <w:bCs/>
          <w:i/>
          <w:iCs/>
        </w:rPr>
        <w:t xml:space="preserve"> the potential to alleviate energy burden (percentage of gross household income spent on energy costs) and decrease overall costs of living for tenants of affordable multifamily housing</w:t>
      </w:r>
      <w:r>
        <w:t xml:space="preserve">. </w:t>
      </w:r>
      <w:hyperlink r:id="rId25">
        <w:r w:rsidRPr="4A1A8BF6">
          <w:rPr>
            <w:rStyle w:val="Hyperlink"/>
          </w:rPr>
          <w:t>In Illinois</w:t>
        </w:r>
      </w:hyperlink>
      <w:r>
        <w:t xml:space="preserve">, low-income families spend an average of 13 percent of their income on energy. </w:t>
      </w:r>
      <w:hyperlink r:id="rId26">
        <w:r w:rsidRPr="4A1A8BF6">
          <w:rPr>
            <w:rStyle w:val="Hyperlink"/>
          </w:rPr>
          <w:t>In Michigan</w:t>
        </w:r>
      </w:hyperlink>
      <w:r>
        <w:t xml:space="preserve">, that number is 15 percent. These burdens are borne disproportionately by Black and Latinx households. </w:t>
      </w:r>
      <w:hyperlink r:id="rId27">
        <w:r w:rsidRPr="4A1A8BF6">
          <w:rPr>
            <w:rStyle w:val="Hyperlink"/>
          </w:rPr>
          <w:t>A study of 48 U.S. metropolitan areas</w:t>
        </w:r>
      </w:hyperlink>
      <w:r>
        <w:t xml:space="preserve"> found that Black households experience a median energy burden 64 percent greater than white households while Latinx households experience a median energy burden 24 percent greater than white households. Building decarbonization presents an opportunity to reduce customer bills. Pairing electric appliances with energy efficiency, building upgrades, and protections against bill increases can help families spend less of their income on energy.</w:t>
      </w:r>
    </w:p>
    <w:p w14:paraId="1A97C648" w14:textId="101A30F4" w:rsidR="0005617A" w:rsidRPr="00903FBB" w:rsidRDefault="2C7E001B" w:rsidP="00674E7F">
      <w:pPr>
        <w:pStyle w:val="ListParagraph"/>
        <w:numPr>
          <w:ilvl w:val="1"/>
          <w:numId w:val="15"/>
        </w:numPr>
        <w:spacing w:line="259" w:lineRule="auto"/>
      </w:pPr>
      <w:r w:rsidRPr="00BD6A72">
        <w:rPr>
          <w:b/>
          <w:bCs/>
          <w:i/>
          <w:iCs/>
        </w:rPr>
        <w:t xml:space="preserve">However, </w:t>
      </w:r>
      <w:r w:rsidRPr="4A1A8BF6">
        <w:rPr>
          <w:b/>
          <w:bCs/>
          <w:i/>
          <w:iCs/>
        </w:rPr>
        <w:t xml:space="preserve">without an eye toward equity, building decarbonization </w:t>
      </w:r>
      <w:r w:rsidR="2DE57C33" w:rsidRPr="4A1A8BF6">
        <w:rPr>
          <w:b/>
          <w:bCs/>
          <w:i/>
          <w:iCs/>
        </w:rPr>
        <w:t xml:space="preserve">can run </w:t>
      </w:r>
      <w:r w:rsidRPr="4A1A8BF6">
        <w:rPr>
          <w:b/>
          <w:bCs/>
          <w:i/>
          <w:iCs/>
        </w:rPr>
        <w:t>the risk of deepening energy burden.</w:t>
      </w:r>
      <w:r w:rsidRPr="3F4756A7">
        <w:t xml:space="preserve"> Low-income customers, locked out of accessing new electric appliances, could end up stuck on the gas system as wealthier customers exit, leaving a smaller and smaller group of people behind to cover the cost of an increasingly expensive system. On the other hand, </w:t>
      </w:r>
      <w:r w:rsidRPr="3F4756A7">
        <w:lastRenderedPageBreak/>
        <w:t>installing electric appliances without taking care to reduce overall energy usage could inadvertently leave customers with higher electricity bills, deepening energy burden.</w:t>
      </w:r>
      <w:r w:rsidR="1118986E" w:rsidRPr="3F4756A7">
        <w:t>”</w:t>
      </w:r>
      <w:r w:rsidR="00D25D43" w:rsidRPr="3F4756A7">
        <w:rPr>
          <w:rStyle w:val="FootnoteReference"/>
        </w:rPr>
        <w:footnoteReference w:id="9"/>
      </w:r>
      <w:r w:rsidR="323ABF27">
        <w:t xml:space="preserve"> Further, decarbonization may result in no impact on household costs</w:t>
      </w:r>
      <w:r w:rsidR="323ABF27" w:rsidRPr="3F4756A7">
        <w:t xml:space="preserve">. </w:t>
      </w:r>
      <w:r w:rsidR="323ABF27">
        <w:t xml:space="preserve">For instance, for HUD-assisted properties that include a utility allowance, an energy efficient upgrade that reduces utility costs can be transferred over to increased rent, leaving the household with the same combined utility and housing costs as before. </w:t>
      </w:r>
      <w:r w:rsidR="00F00880">
        <w:t>GGRF</w:t>
      </w:r>
      <w:r w:rsidR="1585EC12">
        <w:t>-funded approaches</w:t>
      </w:r>
      <w:r w:rsidR="323ABF27">
        <w:t xml:space="preserve"> to decarbonization should </w:t>
      </w:r>
      <w:r w:rsidR="1585EC12">
        <w:t>drive the economic benefits of decarbonization to households.</w:t>
      </w:r>
    </w:p>
    <w:p w14:paraId="78785F37" w14:textId="4C3D66E6" w:rsidR="00D25D43" w:rsidRPr="00903FBB" w:rsidRDefault="007544B5" w:rsidP="3F4756A7">
      <w:pPr>
        <w:pStyle w:val="ListParagraph"/>
        <w:numPr>
          <w:ilvl w:val="1"/>
          <w:numId w:val="15"/>
        </w:numPr>
        <w:spacing w:line="259" w:lineRule="auto"/>
      </w:pPr>
      <w:hyperlink r:id="rId28">
        <w:r w:rsidR="2C7E001B" w:rsidRPr="4A1A8BF6">
          <w:rPr>
            <w:rStyle w:val="Hyperlink"/>
          </w:rPr>
          <w:t>According to a report by the American Council for an Energy Efficient Economy (ACEEE),</w:t>
        </w:r>
      </w:hyperlink>
      <w:r w:rsidR="2C7E001B">
        <w:t xml:space="preserve"> there are an estimated 12,455,350 low- to moderate-income households living in multifamily buildings eligible for decarbonization upgrades. </w:t>
      </w:r>
      <w:r w:rsidR="2C7E001B" w:rsidRPr="4A1A8BF6">
        <w:rPr>
          <w:b/>
          <w:bCs/>
          <w:i/>
          <w:iCs/>
        </w:rPr>
        <w:t>Conducting deep decarbonization retrofits in these buildings could result in nearly 300 trillion Btus of energy savings, which would result in an estimated reduction of 38 million metric tons in CO2 equivalent emissions</w:t>
      </w:r>
      <w:r w:rsidR="2C7E001B">
        <w:t xml:space="preserve"> – a 41</w:t>
      </w:r>
      <w:r w:rsidR="0005617A">
        <w:t xml:space="preserve"> percent</w:t>
      </w:r>
      <w:r w:rsidR="2C7E001B">
        <w:t xml:space="preserve"> reduction from the current estimated emissions from the multifamily housing sector as a whole.</w:t>
      </w:r>
    </w:p>
    <w:p w14:paraId="3CE9C741" w14:textId="77777777" w:rsidR="00D25D43" w:rsidRPr="00903FBB" w:rsidRDefault="00D25D43" w:rsidP="00D25D43">
      <w:pPr>
        <w:rPr>
          <w:rFonts w:cstheme="minorHAnsi"/>
        </w:rPr>
      </w:pPr>
    </w:p>
    <w:p w14:paraId="605AD074" w14:textId="04A77F35" w:rsidR="00C25C90" w:rsidRPr="0097383B" w:rsidRDefault="6E8BAE4F" w:rsidP="3F4756A7">
      <w:pPr>
        <w:pStyle w:val="ListParagraph"/>
        <w:numPr>
          <w:ilvl w:val="0"/>
          <w:numId w:val="15"/>
        </w:numPr>
        <w:rPr>
          <w:i/>
          <w:iCs/>
        </w:rPr>
      </w:pPr>
      <w:r w:rsidRPr="0097383B">
        <w:rPr>
          <w:b/>
          <w:bCs/>
          <w:i/>
          <w:iCs/>
        </w:rPr>
        <w:t xml:space="preserve">Housing </w:t>
      </w:r>
      <w:r w:rsidR="1EB9EE82" w:rsidRPr="0097383B">
        <w:rPr>
          <w:b/>
          <w:bCs/>
          <w:i/>
          <w:iCs/>
        </w:rPr>
        <w:t>Quality,</w:t>
      </w:r>
      <w:r w:rsidRPr="0097383B">
        <w:rPr>
          <w:b/>
          <w:bCs/>
          <w:i/>
          <w:iCs/>
        </w:rPr>
        <w:t xml:space="preserve"> </w:t>
      </w:r>
      <w:r w:rsidR="2518A7A5" w:rsidRPr="0097383B">
        <w:rPr>
          <w:b/>
          <w:bCs/>
          <w:i/>
          <w:iCs/>
        </w:rPr>
        <w:t>Air Quality</w:t>
      </w:r>
      <w:r w:rsidR="1EB9EE82" w:rsidRPr="0097383B">
        <w:rPr>
          <w:b/>
          <w:bCs/>
          <w:i/>
          <w:iCs/>
        </w:rPr>
        <w:t>,</w:t>
      </w:r>
      <w:r w:rsidR="2518A7A5" w:rsidRPr="0097383B">
        <w:rPr>
          <w:b/>
          <w:bCs/>
          <w:i/>
          <w:iCs/>
        </w:rPr>
        <w:t xml:space="preserve"> and Health Outcomes</w:t>
      </w:r>
      <w:r w:rsidR="007603E2" w:rsidRPr="0097383B">
        <w:rPr>
          <w:b/>
          <w:bCs/>
          <w:i/>
          <w:iCs/>
        </w:rPr>
        <w:t>:</w:t>
      </w:r>
    </w:p>
    <w:p w14:paraId="39AEF7E7" w14:textId="65FEA795" w:rsidR="0005617A" w:rsidRDefault="2C7E001B" w:rsidP="00674E7F">
      <w:pPr>
        <w:pStyle w:val="ListParagraph"/>
        <w:numPr>
          <w:ilvl w:val="1"/>
          <w:numId w:val="15"/>
        </w:numPr>
        <w:rPr>
          <w:b/>
          <w:bCs/>
          <w:i/>
          <w:iCs/>
        </w:rPr>
      </w:pPr>
      <w:r>
        <w:t>Buildings</w:t>
      </w:r>
      <w:r w:rsidR="1EB9EE82">
        <w:t xml:space="preserve"> can</w:t>
      </w:r>
      <w:r>
        <w:t xml:space="preserve"> contribute to dangerous air pollution. Gas appliances like stoves, furnaces, and water heaters release carbon monoxide, nitrogen compounds, and other air pollutants</w:t>
      </w:r>
      <w:r w:rsidR="1EB9EE82">
        <w:t xml:space="preserve"> (e.g. methane leaks)</w:t>
      </w:r>
      <w:r>
        <w:t xml:space="preserve">, meaning they can have negative impacts on </w:t>
      </w:r>
      <w:hyperlink r:id="rId29">
        <w:r w:rsidRPr="3F4756A7">
          <w:rPr>
            <w:rStyle w:val="Hyperlink"/>
          </w:rPr>
          <w:t>health</w:t>
        </w:r>
      </w:hyperlink>
      <w:r w:rsidR="1EB9EE82">
        <w:rPr>
          <w:rStyle w:val="Hyperlink"/>
        </w:rPr>
        <w:t>, particularly when not vented</w:t>
      </w:r>
      <w:r w:rsidR="00AB0CCE">
        <w:rPr>
          <w:rStyle w:val="FootnoteReference"/>
          <w:color w:val="0563C1" w:themeColor="hyperlink"/>
          <w:u w:val="single"/>
        </w:rPr>
        <w:footnoteReference w:id="10"/>
      </w:r>
      <w:r>
        <w:t xml:space="preserve">. A </w:t>
      </w:r>
      <w:hyperlink r:id="rId30" w:anchor="12981961">
        <w:r w:rsidRPr="3F4756A7">
          <w:rPr>
            <w:rStyle w:val="Hyperlink"/>
          </w:rPr>
          <w:t>comprehensive review</w:t>
        </w:r>
      </w:hyperlink>
      <w:r>
        <w:t xml:space="preserve"> of </w:t>
      </w:r>
      <w:r w:rsidR="007603E2">
        <w:t xml:space="preserve">the </w:t>
      </w:r>
      <w:r>
        <w:t>literature found that children living in a home with gas cooking had a 42</w:t>
      </w:r>
      <w:r w:rsidR="0005617A">
        <w:t xml:space="preserve"> percent </w:t>
      </w:r>
      <w:r>
        <w:t xml:space="preserve">increased risk of experiencing asthma symptoms. </w:t>
      </w:r>
      <w:r w:rsidRPr="00114B84">
        <w:t xml:space="preserve">By switching to electric appliances, occupants can breathe healthier air and improve outdoor air quality as well. </w:t>
      </w:r>
      <w:r>
        <w:t xml:space="preserve">These upgrades are especially needed in the communities that face the worst pollution. In California alone, replacing gas with electric appliances would prevent </w:t>
      </w:r>
      <w:hyperlink r:id="rId31">
        <w:r w:rsidRPr="3F4756A7">
          <w:rPr>
            <w:rStyle w:val="Hyperlink"/>
          </w:rPr>
          <w:t>more than 350 premature deaths each year and produce $3.5 billion</w:t>
        </w:r>
      </w:hyperlink>
      <w:r>
        <w:t xml:space="preserve"> in annual health benefits from cleaner air. However, without prioritizing equity </w:t>
      </w:r>
      <w:r w:rsidRPr="0097383B">
        <w:rPr>
          <w:b/>
          <w:bCs/>
        </w:rPr>
        <w:t>(i.e</w:t>
      </w:r>
      <w:r>
        <w:t xml:space="preserve">. </w:t>
      </w:r>
      <w:r w:rsidRPr="4A1A8BF6">
        <w:rPr>
          <w:b/>
          <w:bCs/>
          <w:i/>
          <w:iCs/>
        </w:rPr>
        <w:t xml:space="preserve">offering electric appliances at low or no cost and targeting programs toward </w:t>
      </w:r>
      <w:r w:rsidR="0005617A">
        <w:rPr>
          <w:b/>
          <w:bCs/>
          <w:i/>
          <w:iCs/>
        </w:rPr>
        <w:t>pollution-burdened</w:t>
      </w:r>
      <w:r w:rsidRPr="4A1A8BF6">
        <w:rPr>
          <w:b/>
          <w:bCs/>
          <w:i/>
          <w:iCs/>
        </w:rPr>
        <w:t xml:space="preserve"> communities), decarbonization initiatives risk only improving indoor air quality for families that can afford electric appliances and building upgrades, instead of families that would benefit most.</w:t>
      </w:r>
      <w:r w:rsidR="00473863" w:rsidRPr="4A1A8BF6">
        <w:rPr>
          <w:rStyle w:val="FootnoteReference"/>
          <w:b/>
          <w:bCs/>
          <w:i/>
          <w:iCs/>
        </w:rPr>
        <w:footnoteReference w:id="11"/>
      </w:r>
    </w:p>
    <w:p w14:paraId="7935BD20" w14:textId="77777777" w:rsidR="00C74986" w:rsidRPr="0097383B" w:rsidRDefault="00C74986" w:rsidP="00063B12">
      <w:pPr>
        <w:pStyle w:val="ListParagraph"/>
        <w:ind w:left="1440"/>
        <w:rPr>
          <w:b/>
          <w:bCs/>
          <w:i/>
          <w:iCs/>
        </w:rPr>
      </w:pPr>
    </w:p>
    <w:p w14:paraId="78587575" w14:textId="42CC7415" w:rsidR="0005617A" w:rsidRDefault="77CDF289" w:rsidP="00674E7F">
      <w:pPr>
        <w:pStyle w:val="ListParagraph"/>
        <w:numPr>
          <w:ilvl w:val="1"/>
          <w:numId w:val="15"/>
        </w:numPr>
      </w:pPr>
      <w:r w:rsidRPr="4A1A8BF6">
        <w:rPr>
          <w:b/>
          <w:bCs/>
          <w:i/>
          <w:iCs/>
        </w:rPr>
        <w:t>D</w:t>
      </w:r>
      <w:r w:rsidR="2C7E001B" w:rsidRPr="4A1A8BF6">
        <w:rPr>
          <w:b/>
          <w:bCs/>
          <w:i/>
          <w:iCs/>
        </w:rPr>
        <w:t xml:space="preserve">ecarbonization improvements on their own </w:t>
      </w:r>
      <w:r w:rsidRPr="4A1A8BF6">
        <w:rPr>
          <w:b/>
          <w:bCs/>
          <w:i/>
          <w:iCs/>
        </w:rPr>
        <w:t xml:space="preserve">can </w:t>
      </w:r>
      <w:r w:rsidR="2C7E001B" w:rsidRPr="4A1A8BF6">
        <w:rPr>
          <w:b/>
          <w:bCs/>
          <w:i/>
          <w:iCs/>
        </w:rPr>
        <w:t>grant health and comfort benefits</w:t>
      </w:r>
      <w:r w:rsidRPr="4A1A8BF6">
        <w:rPr>
          <w:b/>
          <w:bCs/>
          <w:i/>
          <w:iCs/>
        </w:rPr>
        <w:t xml:space="preserve"> if appropriately prioritized and included in the scope of work.</w:t>
      </w:r>
      <w:r w:rsidR="49084944">
        <w:t xml:space="preserve"> For </w:t>
      </w:r>
      <w:r w:rsidR="49084944">
        <w:lastRenderedPageBreak/>
        <w:t>instance, the ability to add cooling to homes that don't already have it or are using expensive and inefficient systems like window units is a big potential health benefit. With increased temperatures and heat being the single deadliest type of event, cooling will become increasingly important and there are many places in the country where a decarbonization retrofit can introduce efficient and affordable cooling that will keep residents much safer and healthier.</w:t>
      </w:r>
      <w:r w:rsidR="74A69EC0">
        <w:t xml:space="preserve"> Additionally, opportunities like </w:t>
      </w:r>
      <w:hyperlink r:id="rId32">
        <w:r w:rsidR="74A69EC0" w:rsidRPr="4A1A8BF6">
          <w:rPr>
            <w:rStyle w:val="Hyperlink"/>
          </w:rPr>
          <w:t>supporting weatherization</w:t>
        </w:r>
      </w:hyperlink>
      <w:r w:rsidR="74A69EC0">
        <w:t xml:space="preserve"> (air sealing and insulation) upgrades can achieve some health co-benefits</w:t>
      </w:r>
      <w:r w:rsidR="454AC768">
        <w:t xml:space="preserve"> – including </w:t>
      </w:r>
      <w:r w:rsidR="74A69EC0">
        <w:t>more comfortable indoor temperatures, noise reduction, and less infiltration of pollutants from the outside</w:t>
      </w:r>
      <w:r w:rsidR="56AE8BD0">
        <w:t xml:space="preserve"> – </w:t>
      </w:r>
      <w:r w:rsidR="74A69EC0">
        <w:t>while increasing energy efficiency for heating and cooling.</w:t>
      </w:r>
    </w:p>
    <w:p w14:paraId="376F33D0" w14:textId="77777777" w:rsidR="00C74986" w:rsidRDefault="00C74986" w:rsidP="00063B12"/>
    <w:p w14:paraId="39633F8C" w14:textId="62F9CC7A" w:rsidR="0005617A" w:rsidRDefault="49084944" w:rsidP="00674E7F">
      <w:pPr>
        <w:pStyle w:val="ListParagraph"/>
        <w:numPr>
          <w:ilvl w:val="1"/>
          <w:numId w:val="15"/>
        </w:numPr>
      </w:pPr>
      <w:r w:rsidRPr="00063B12">
        <w:rPr>
          <w:b/>
          <w:bCs/>
          <w:i/>
          <w:iCs/>
        </w:rPr>
        <w:t>In addition,</w:t>
      </w:r>
      <w:r>
        <w:t xml:space="preserve"> </w:t>
      </w:r>
      <w:r w:rsidRPr="4A1A8BF6">
        <w:rPr>
          <w:b/>
          <w:bCs/>
          <w:i/>
          <w:iCs/>
        </w:rPr>
        <w:t>the retrofit process presents further opportunity to pursue health and resiliency focused improvements concurrently in order to maximize holistic building improvements and tenant benefits while minimizing the inconveniences and added costs of undertaking two separate retrofit processes.</w:t>
      </w:r>
      <w:r>
        <w:t xml:space="preserve"> </w:t>
      </w:r>
      <w:r w:rsidR="469BCD54">
        <w:t xml:space="preserve">Adding resiliency improvements </w:t>
      </w:r>
      <w:r w:rsidR="77CDF289">
        <w:t xml:space="preserve">(e.g. elevation of building systems; appropriate stormwater management; etc.) </w:t>
      </w:r>
      <w:r w:rsidR="469BCD54">
        <w:t xml:space="preserve">are particularly important, as many low-income and marginalized communities are on the front lines of climate-related </w:t>
      </w:r>
      <w:r w:rsidR="6E8BAE4F">
        <w:t>hazards and disasters</w:t>
      </w:r>
      <w:r w:rsidR="469BCD54">
        <w:t xml:space="preserve">. </w:t>
      </w:r>
      <w:r w:rsidR="2C7E001B">
        <w:t xml:space="preserve">Retrofits tackling decarbonization can </w:t>
      </w:r>
      <w:r w:rsidR="34901417">
        <w:t xml:space="preserve">also </w:t>
      </w:r>
      <w:r w:rsidR="2C7E001B">
        <w:t>be layered with remediation for lead exposure, mold, asbestos, pests, and/or any other health and safety hazards, doubling down on the health-related benefits of decarbonization.</w:t>
      </w:r>
    </w:p>
    <w:p w14:paraId="69C82E38" w14:textId="77777777" w:rsidR="00C74986" w:rsidRDefault="00C74986" w:rsidP="00063B12"/>
    <w:p w14:paraId="5AA1C3FA" w14:textId="2E9C15CA" w:rsidR="00732AD3" w:rsidRPr="00903FBB" w:rsidRDefault="40057F35" w:rsidP="4A1A8BF6">
      <w:pPr>
        <w:pStyle w:val="ListParagraph"/>
        <w:numPr>
          <w:ilvl w:val="1"/>
          <w:numId w:val="15"/>
        </w:numPr>
      </w:pPr>
      <w:r w:rsidRPr="4A1A8BF6">
        <w:rPr>
          <w:b/>
          <w:bCs/>
          <w:i/>
          <w:iCs/>
        </w:rPr>
        <w:t>Making investments in existing building</w:t>
      </w:r>
      <w:r w:rsidR="070EF700" w:rsidRPr="4A1A8BF6">
        <w:rPr>
          <w:b/>
          <w:bCs/>
          <w:i/>
          <w:iCs/>
        </w:rPr>
        <w:t>s</w:t>
      </w:r>
      <w:r w:rsidRPr="4A1A8BF6">
        <w:rPr>
          <w:b/>
          <w:bCs/>
          <w:i/>
          <w:iCs/>
        </w:rPr>
        <w:t xml:space="preserve"> that improve housing and air quality and deliver health benefits, </w:t>
      </w:r>
      <w:r w:rsidR="070EF700" w:rsidRPr="4A1A8BF6">
        <w:rPr>
          <w:b/>
          <w:bCs/>
          <w:i/>
          <w:iCs/>
        </w:rPr>
        <w:t>ultimately can preserve key community assets that provide housing stability for millions of families.</w:t>
      </w:r>
      <w:r w:rsidR="070EF700">
        <w:t xml:space="preserve"> Failing to make such investments further increases transition risk these communities face as the economy transitions away from fossil fuels.</w:t>
      </w:r>
    </w:p>
    <w:p w14:paraId="735560D6" w14:textId="3C4624A8" w:rsidR="00D25D43" w:rsidRPr="00903FBB" w:rsidRDefault="00D25D43" w:rsidP="00D25D43">
      <w:pPr>
        <w:rPr>
          <w:rFonts w:cstheme="minorHAnsi"/>
        </w:rPr>
      </w:pPr>
    </w:p>
    <w:p w14:paraId="580682B7" w14:textId="773FDDAD" w:rsidR="00C74986" w:rsidRPr="00063B12" w:rsidRDefault="00110475" w:rsidP="00C74986">
      <w:pPr>
        <w:pStyle w:val="ListParagraph"/>
        <w:numPr>
          <w:ilvl w:val="0"/>
          <w:numId w:val="21"/>
        </w:numPr>
        <w:rPr>
          <w:b/>
          <w:bCs/>
          <w:i/>
          <w:iCs/>
        </w:rPr>
      </w:pPr>
      <w:r w:rsidRPr="00063B12">
        <w:rPr>
          <w:b/>
          <w:bCs/>
          <w:i/>
          <w:iCs/>
        </w:rPr>
        <w:t>Employment and Business Opportunities</w:t>
      </w:r>
      <w:r w:rsidR="007603E2" w:rsidRPr="00063B12">
        <w:rPr>
          <w:b/>
          <w:bCs/>
          <w:i/>
          <w:iCs/>
        </w:rPr>
        <w:t>:</w:t>
      </w:r>
    </w:p>
    <w:p w14:paraId="1B48F8FE" w14:textId="359C6E68" w:rsidR="00D25D43" w:rsidRDefault="417FDC30" w:rsidP="3F4756A7">
      <w:pPr>
        <w:pStyle w:val="ListParagraph"/>
        <w:numPr>
          <w:ilvl w:val="1"/>
          <w:numId w:val="21"/>
        </w:numPr>
      </w:pPr>
      <w:r w:rsidRPr="4A1A8BF6">
        <w:rPr>
          <w:b/>
          <w:bCs/>
          <w:i/>
          <w:iCs/>
        </w:rPr>
        <w:t xml:space="preserve">The growing demand for building decarbonization presents significant opportunities for both job seekers and businesses alike to capitalize on the </w:t>
      </w:r>
      <w:r w:rsidR="036B1E23" w:rsidRPr="4A1A8BF6">
        <w:rPr>
          <w:b/>
          <w:bCs/>
          <w:i/>
          <w:iCs/>
        </w:rPr>
        <w:t>transition toward a clean economy and a focus on building decarbonization</w:t>
      </w:r>
      <w:r w:rsidRPr="4A1A8BF6">
        <w:rPr>
          <w:b/>
          <w:bCs/>
          <w:i/>
          <w:iCs/>
        </w:rPr>
        <w:t>.</w:t>
      </w:r>
      <w:r>
        <w:t xml:space="preserve"> Particularly in the mission-based sectors, building decarbonization efforts</w:t>
      </w:r>
      <w:r w:rsidR="036B1E23">
        <w:t xml:space="preserve"> that</w:t>
      </w:r>
      <w:r>
        <w:t xml:space="preserve"> pair with </w:t>
      </w:r>
      <w:r w:rsidR="1D3CFAD8">
        <w:t xml:space="preserve">high-road, prevailing wage </w:t>
      </w:r>
      <w:r>
        <w:t>local hiring</w:t>
      </w:r>
      <w:r w:rsidR="1D3CFAD8">
        <w:t xml:space="preserve">, as well as </w:t>
      </w:r>
      <w:r>
        <w:t>small business support can deliver significant benefits to communities.</w:t>
      </w:r>
      <w:r w:rsidR="070822D1">
        <w:t xml:space="preserve"> </w:t>
      </w:r>
      <w:r w:rsidR="39B5CFAB">
        <w:t xml:space="preserve">For instance, </w:t>
      </w:r>
      <w:hyperlink r:id="rId33">
        <w:r w:rsidR="39B5CFAB" w:rsidRPr="4A1A8BF6">
          <w:rPr>
            <w:rStyle w:val="Hyperlink"/>
          </w:rPr>
          <w:t>a</w:t>
        </w:r>
        <w:r w:rsidR="070822D1" w:rsidRPr="4A1A8BF6">
          <w:rPr>
            <w:rStyle w:val="Hyperlink"/>
          </w:rPr>
          <w:t xml:space="preserve"> 2020 ACEEE Report</w:t>
        </w:r>
      </w:hyperlink>
      <w:r w:rsidR="070822D1">
        <w:t xml:space="preserve"> </w:t>
      </w:r>
      <w:r w:rsidR="5B7645D1">
        <w:t xml:space="preserve">that considered </w:t>
      </w:r>
      <w:r w:rsidR="2643D1DC">
        <w:t>efficiency investments in low- and moderate-income multifamily housing</w:t>
      </w:r>
      <w:r w:rsidR="3828263E">
        <w:t xml:space="preserve">, </w:t>
      </w:r>
      <w:r w:rsidR="5B7645D1">
        <w:t xml:space="preserve">found that </w:t>
      </w:r>
      <w:r w:rsidR="38E6256D">
        <w:t xml:space="preserve">such investments would result in </w:t>
      </w:r>
      <w:r w:rsidR="33E9D05E">
        <w:t xml:space="preserve">over 98,000 </w:t>
      </w:r>
      <w:r w:rsidR="38E6256D">
        <w:t>additional job-years</w:t>
      </w:r>
      <w:r w:rsidR="5D506DA6">
        <w:t>, result in $</w:t>
      </w:r>
      <w:r w:rsidR="78148EBC">
        <w:t>15.8</w:t>
      </w:r>
      <w:r w:rsidR="5D506DA6">
        <w:t xml:space="preserve"> billion in energy bill savings</w:t>
      </w:r>
      <w:r w:rsidR="38E6256D">
        <w:t xml:space="preserve"> </w:t>
      </w:r>
      <w:r w:rsidR="3975B3B8" w:rsidRPr="00800B17">
        <w:t>and other financial benefits</w:t>
      </w:r>
      <w:r w:rsidR="3975B3B8">
        <w:t xml:space="preserve">, </w:t>
      </w:r>
      <w:r w:rsidR="38E6256D">
        <w:t>and reduce CO</w:t>
      </w:r>
      <w:r w:rsidR="2E10789C">
        <w:t>2 emissions</w:t>
      </w:r>
      <w:r w:rsidR="0B97945D">
        <w:t xml:space="preserve"> by </w:t>
      </w:r>
      <w:r w:rsidR="7EF4B12C">
        <w:t xml:space="preserve">54 </w:t>
      </w:r>
      <w:r w:rsidR="0B97945D">
        <w:t>million metric tons</w:t>
      </w:r>
      <w:r w:rsidR="593DE1A9">
        <w:t xml:space="preserve"> (equivalent to taking nearly </w:t>
      </w:r>
      <w:r w:rsidR="23B0FBC3">
        <w:t xml:space="preserve">12 </w:t>
      </w:r>
      <w:r w:rsidR="593DE1A9">
        <w:t>million cars and light trucks off the road)</w:t>
      </w:r>
      <w:r w:rsidR="0B97945D">
        <w:t>.</w:t>
      </w:r>
    </w:p>
    <w:p w14:paraId="75924920" w14:textId="77777777" w:rsidR="00A851DF" w:rsidRDefault="00A851DF" w:rsidP="00B62F7A"/>
    <w:p w14:paraId="6A5D014F" w14:textId="77777777" w:rsidR="00C74986" w:rsidRDefault="00C74986" w:rsidP="00B62F7A"/>
    <w:p w14:paraId="3D902B25" w14:textId="0C61CA91" w:rsidR="00C74986" w:rsidRPr="00800B17" w:rsidRDefault="00A851DF" w:rsidP="00C74986">
      <w:pPr>
        <w:pStyle w:val="ListParagraph"/>
        <w:numPr>
          <w:ilvl w:val="0"/>
          <w:numId w:val="21"/>
        </w:numPr>
        <w:rPr>
          <w:rFonts w:cstheme="minorHAnsi"/>
          <w:i/>
          <w:iCs/>
        </w:rPr>
      </w:pPr>
      <w:r w:rsidRPr="00800B17">
        <w:rPr>
          <w:rFonts w:cstheme="minorHAnsi"/>
          <w:b/>
          <w:bCs/>
          <w:i/>
          <w:iCs/>
        </w:rPr>
        <w:t>Displacement Risk</w:t>
      </w:r>
      <w:r w:rsidR="007603E2" w:rsidRPr="00800B17">
        <w:rPr>
          <w:rFonts w:cstheme="minorHAnsi"/>
          <w:b/>
          <w:bCs/>
          <w:i/>
          <w:iCs/>
        </w:rPr>
        <w:t>:</w:t>
      </w:r>
    </w:p>
    <w:p w14:paraId="76F1A93A" w14:textId="3BD37872" w:rsidR="00A851DF" w:rsidRPr="00D44F08" w:rsidRDefault="4D45255E" w:rsidP="4A1A8BF6">
      <w:pPr>
        <w:pStyle w:val="ListParagraph"/>
        <w:numPr>
          <w:ilvl w:val="1"/>
          <w:numId w:val="21"/>
        </w:numPr>
      </w:pPr>
      <w:r w:rsidRPr="00800B17">
        <w:rPr>
          <w:b/>
          <w:bCs/>
          <w:i/>
          <w:iCs/>
          <w:color w:val="000000" w:themeColor="text1"/>
        </w:rPr>
        <w:t>Many times,</w:t>
      </w:r>
      <w:r w:rsidRPr="00B62F7A">
        <w:rPr>
          <w:color w:val="000000" w:themeColor="text1"/>
        </w:rPr>
        <w:t xml:space="preserve"> </w:t>
      </w:r>
      <w:r w:rsidRPr="4A1A8BF6">
        <w:rPr>
          <w:b/>
          <w:bCs/>
          <w:i/>
          <w:iCs/>
          <w:color w:val="000000" w:themeColor="text1"/>
        </w:rPr>
        <w:t xml:space="preserve">building </w:t>
      </w:r>
      <w:r w:rsidRPr="4A1A8BF6">
        <w:rPr>
          <w:b/>
          <w:bCs/>
          <w:i/>
          <w:iCs/>
          <w:color w:val="000000" w:themeColor="text1"/>
        </w:rPr>
        <w:t xml:space="preserve">decarbonization carries high upfront costs, which pose a risk to renters and housing affordability if landlords pass these costs on as rent increases. </w:t>
      </w:r>
      <w:r w:rsidRPr="00B62F7A">
        <w:rPr>
          <w:color w:val="000000" w:themeColor="text1"/>
        </w:rPr>
        <w:t xml:space="preserve">This is particularly a risk in unregulated affordable housing (NOAH). Additional risks include eviction during the retrofit process and changes in metering that could cause renters to begin paying for heat, hot water, or other utilities post-retrofit, </w:t>
      </w:r>
      <w:r w:rsidR="4FE23693" w:rsidRPr="575FBCA5">
        <w:rPr>
          <w:color w:val="000000" w:themeColor="text1"/>
        </w:rPr>
        <w:t>ultimately adding</w:t>
      </w:r>
      <w:r w:rsidRPr="00B62F7A">
        <w:rPr>
          <w:color w:val="000000" w:themeColor="text1"/>
        </w:rPr>
        <w:t xml:space="preserve"> to their overall housing cost burden. The Building Electrification Institute (BEI) recommends that public funding should have basic tenant protections attached to prevent evictions and rent increases </w:t>
      </w:r>
      <w:r w:rsidR="4FE23693" w:rsidRPr="575FBCA5">
        <w:rPr>
          <w:color w:val="000000" w:themeColor="text1"/>
        </w:rPr>
        <w:t>that may be</w:t>
      </w:r>
      <w:r w:rsidRPr="00B62F7A">
        <w:rPr>
          <w:color w:val="000000" w:themeColor="text1"/>
        </w:rPr>
        <w:t xml:space="preserve"> a result of upgrades.</w:t>
      </w:r>
      <w:r w:rsidR="00A851DF" w:rsidRPr="4A1A8BF6">
        <w:rPr>
          <w:rStyle w:val="FootnoteReference"/>
          <w:color w:val="000000"/>
        </w:rPr>
        <w:footnoteReference w:id="12"/>
      </w:r>
    </w:p>
    <w:p w14:paraId="2BE5A8DA" w14:textId="3F6768B7" w:rsidR="3F4756A7" w:rsidRDefault="3F4756A7" w:rsidP="3F4756A7"/>
    <w:p w14:paraId="47658BD0" w14:textId="38D41C54" w:rsidR="00F02D4A" w:rsidRPr="00F02D4A" w:rsidRDefault="004F4FC7" w:rsidP="00F02D4A">
      <w:pPr>
        <w:pStyle w:val="Heading2"/>
      </w:pPr>
      <w:r w:rsidRPr="00800B17">
        <w:rPr>
          <w:sz w:val="28"/>
          <w:szCs w:val="28"/>
        </w:rPr>
        <w:t xml:space="preserve">Deal </w:t>
      </w:r>
      <w:r w:rsidR="00F02D4A" w:rsidRPr="00800B17">
        <w:rPr>
          <w:sz w:val="28"/>
          <w:szCs w:val="28"/>
        </w:rPr>
        <w:t>E</w:t>
      </w:r>
      <w:r w:rsidRPr="00800B17">
        <w:rPr>
          <w:sz w:val="28"/>
          <w:szCs w:val="28"/>
        </w:rPr>
        <w:t>cono</w:t>
      </w:r>
      <w:r w:rsidR="00F02D4A">
        <w:rPr>
          <w:sz w:val="28"/>
          <w:szCs w:val="28"/>
        </w:rPr>
        <w:t>mies</w:t>
      </w:r>
    </w:p>
    <w:p w14:paraId="6CE898E3" w14:textId="4A4D224F" w:rsidR="00D85DC9" w:rsidRPr="008F7A45" w:rsidRDefault="21A585DB" w:rsidP="00800B17">
      <w:pPr>
        <w:rPr>
          <w:i/>
          <w:iCs/>
        </w:rPr>
      </w:pPr>
      <w:r>
        <w:t>I</w:t>
      </w:r>
      <w:r w:rsidR="00F02D4A">
        <w:t>t</w:t>
      </w:r>
      <w:r>
        <w:t xml:space="preserve"> is difficult to summarize “deal economics” for multifamily housing because </w:t>
      </w:r>
      <w:r w:rsidR="4F4C6989">
        <w:t xml:space="preserve">investment </w:t>
      </w:r>
      <w:r>
        <w:t xml:space="preserve">structure </w:t>
      </w:r>
      <w:r w:rsidR="7FE56136">
        <w:t>varies</w:t>
      </w:r>
      <w:r>
        <w:t xml:space="preserve"> </w:t>
      </w:r>
      <w:r w:rsidR="7EF7EE54">
        <w:t xml:space="preserve">depending on the size of the project, geographic </w:t>
      </w:r>
      <w:r w:rsidR="0A01517F">
        <w:t xml:space="preserve">area, local market economics, </w:t>
      </w:r>
      <w:r w:rsidR="4A9FBD98">
        <w:t>whether the project is subsidized or NOAH, and other factors. In some markets, affordable m</w:t>
      </w:r>
      <w:r>
        <w:t xml:space="preserve">ultifamily housing is big business, and the markets for the development, financing, and management of multifamily properties are mature. </w:t>
      </w:r>
      <w:r w:rsidR="4A9FBD98">
        <w:t>In other markets,</w:t>
      </w:r>
      <w:r w:rsidR="1792C4FF">
        <w:t xml:space="preserve"> “Mom and Pop” landlords scrape by. In all markets, </w:t>
      </w:r>
      <w:r w:rsidR="652451D1">
        <w:t xml:space="preserve">many of the building components important for greenhouse gas </w:t>
      </w:r>
      <w:r w:rsidR="652451D1">
        <w:t>reduction</w:t>
      </w:r>
      <w:r w:rsidR="0007105A">
        <w:t xml:space="preserve"> –</w:t>
      </w:r>
      <w:r w:rsidR="00F02D4A">
        <w:t xml:space="preserve"> including insulation</w:t>
      </w:r>
      <w:r w:rsidR="652451D1">
        <w:t>, windows, HVAC systems, etc.</w:t>
      </w:r>
      <w:r w:rsidR="0007105A">
        <w:t xml:space="preserve"> –</w:t>
      </w:r>
      <w:r w:rsidR="00F02D4A">
        <w:t xml:space="preserve"> </w:t>
      </w:r>
      <w:r w:rsidR="652451D1">
        <w:t xml:space="preserve">are </w:t>
      </w:r>
      <w:r w:rsidR="2BDF8833">
        <w:t xml:space="preserve">specified and financed primarily when the property is first built and </w:t>
      </w:r>
      <w:r w:rsidR="20778D07">
        <w:t xml:space="preserve">then again </w:t>
      </w:r>
      <w:r w:rsidR="2BDF8833">
        <w:t>when it is sold or refinanced</w:t>
      </w:r>
      <w:r w:rsidR="00F02D4A">
        <w:t>. O</w:t>
      </w:r>
      <w:r w:rsidR="20778D07">
        <w:t>r</w:t>
      </w:r>
      <w:r w:rsidR="00F02D4A">
        <w:t>,</w:t>
      </w:r>
      <w:r w:rsidR="20778D07">
        <w:t xml:space="preserve"> when an emergency repair or replacement is needed. </w:t>
      </w:r>
      <w:r>
        <w:t>There are two main strategies for decarbonizing multifamily housing: (1) transform the multifamily marketplace so that decarbonization is built into the day-to-day regular systems of housing development, finance, management</w:t>
      </w:r>
      <w:r w:rsidR="5D444128">
        <w:t>, and repair</w:t>
      </w:r>
      <w:r w:rsidR="6AE05222">
        <w:t>;</w:t>
      </w:r>
      <w:r>
        <w:t xml:space="preserve"> and (2) create mid-cycle products and programs that work alongside and around traditional market systems while incentivizing the decarbonization we seek.</w:t>
      </w:r>
      <w:r w:rsidR="2BDF8833">
        <w:t xml:space="preserve"> </w:t>
      </w:r>
      <w:r w:rsidR="0E480D7B">
        <w:t xml:space="preserve">Typically, </w:t>
      </w:r>
      <w:r w:rsidR="7ED33F7B">
        <w:t xml:space="preserve">affordable multifamily </w:t>
      </w:r>
      <w:r w:rsidR="0E480D7B">
        <w:t xml:space="preserve">properties are financed with </w:t>
      </w:r>
      <w:r w:rsidR="1DA95B1E">
        <w:t>private</w:t>
      </w:r>
      <w:r w:rsidR="0E480D7B">
        <w:t xml:space="preserve"> mortgages or special </w:t>
      </w:r>
      <w:r w:rsidR="43A19488">
        <w:t xml:space="preserve">Federal </w:t>
      </w:r>
      <w:r w:rsidR="1DA95B1E">
        <w:t>financing</w:t>
      </w:r>
      <w:r w:rsidR="0E480D7B">
        <w:t xml:space="preserve"> programs</w:t>
      </w:r>
      <w:r w:rsidR="7ED33F7B">
        <w:t>, as described above</w:t>
      </w:r>
      <w:r w:rsidR="0E480D7B">
        <w:t xml:space="preserve">. Many energy retrofits and renewable energy systems are incentivized with rebates, discounts, tax credits, and </w:t>
      </w:r>
      <w:r w:rsidR="00F02D4A">
        <w:t>low-interest</w:t>
      </w:r>
      <w:r w:rsidR="0E480D7B">
        <w:t xml:space="preserve"> rates through Federal, state, utility, and private programs. Grants or other subsidies may be necessary </w:t>
      </w:r>
      <w:r w:rsidR="00F02D4A">
        <w:t>for</w:t>
      </w:r>
      <w:r w:rsidR="0E480D7B">
        <w:t xml:space="preserve"> high-cost areas</w:t>
      </w:r>
      <w:r w:rsidR="00F02D4A">
        <w:t xml:space="preserve">, </w:t>
      </w:r>
      <w:r w:rsidR="0E480D7B">
        <w:t>or areas with low electricity prices. Home appliances are often financed through retailer installment payment plans or credit cards. Below, we cover key</w:t>
      </w:r>
      <w:r w:rsidR="4D2F527D">
        <w:t xml:space="preserve"> nuances of</w:t>
      </w:r>
      <w:r w:rsidR="0E480D7B">
        <w:t xml:space="preserve"> deal economics: </w:t>
      </w:r>
      <w:r w:rsidR="00ED04E2">
        <w:br/>
      </w:r>
    </w:p>
    <w:p w14:paraId="10C2F706" w14:textId="0E08E673" w:rsidR="003D2B46" w:rsidRPr="00903FBB" w:rsidRDefault="54925002" w:rsidP="4A1A8BF6">
      <w:pPr>
        <w:pStyle w:val="ListParagraph"/>
        <w:numPr>
          <w:ilvl w:val="0"/>
          <w:numId w:val="15"/>
        </w:numPr>
        <w:rPr>
          <w:b/>
          <w:bCs/>
        </w:rPr>
      </w:pPr>
      <w:r w:rsidRPr="4A1A8BF6">
        <w:rPr>
          <w:b/>
          <w:bCs/>
        </w:rPr>
        <w:t xml:space="preserve">Decarbonization retrofit costs and payback periods vary widely from market to market, </w:t>
      </w:r>
      <w:bookmarkStart w:id="0" w:name="_Int_GiYLUoLO"/>
      <w:r w:rsidRPr="4A1A8BF6">
        <w:rPr>
          <w:b/>
          <w:bCs/>
        </w:rPr>
        <w:t>but generally speaking, owners</w:t>
      </w:r>
      <w:bookmarkEnd w:id="0"/>
      <w:r w:rsidRPr="4A1A8BF6">
        <w:rPr>
          <w:b/>
          <w:bCs/>
        </w:rPr>
        <w:t xml:space="preserve"> of multifamily buildings will have to make large up-front capital investments to improve existing building performance and lower emissions.</w:t>
      </w:r>
      <w:r>
        <w:t xml:space="preserve"> </w:t>
      </w:r>
      <w:r w:rsidR="3FFB4BCB">
        <w:t>Depending on the scope, deeper energy retrofits will likely require significant grant support.</w:t>
      </w:r>
    </w:p>
    <w:p w14:paraId="13281CD5" w14:textId="2E7561D1" w:rsidR="3F4756A7" w:rsidRDefault="3F4756A7" w:rsidP="3F4756A7"/>
    <w:p w14:paraId="3CFC5747" w14:textId="5152B6A4" w:rsidR="00416548" w:rsidRPr="00903FBB" w:rsidRDefault="2F133E2B" w:rsidP="3F4756A7">
      <w:pPr>
        <w:pStyle w:val="ListParagraph"/>
        <w:numPr>
          <w:ilvl w:val="0"/>
          <w:numId w:val="15"/>
        </w:numPr>
        <w:rPr>
          <w:rFonts w:eastAsia="Calibri"/>
        </w:rPr>
      </w:pPr>
      <w:r w:rsidRPr="4A1A8BF6">
        <w:rPr>
          <w:rFonts w:eastAsia="Calibri"/>
        </w:rPr>
        <w:lastRenderedPageBreak/>
        <w:t xml:space="preserve">Because of local regulation and geographic energy </w:t>
      </w:r>
      <w:r w:rsidR="7C91E942" w:rsidRPr="4A1A8BF6">
        <w:rPr>
          <w:rFonts w:eastAsia="Calibri"/>
        </w:rPr>
        <w:t xml:space="preserve">mix and </w:t>
      </w:r>
      <w:r w:rsidRPr="4A1A8BF6">
        <w:rPr>
          <w:rFonts w:eastAsia="Calibri"/>
        </w:rPr>
        <w:t xml:space="preserve">price variation, </w:t>
      </w:r>
      <w:r w:rsidRPr="4A1A8BF6">
        <w:rPr>
          <w:rFonts w:eastAsia="Calibri"/>
          <w:b/>
          <w:bCs/>
          <w:i/>
          <w:iCs/>
        </w:rPr>
        <w:t>location is a critical factor in determining how much financial sense it makes to focus on energy efficiency improvement versus electrification.</w:t>
      </w:r>
      <w:r w:rsidRPr="4A1A8BF6">
        <w:rPr>
          <w:rFonts w:eastAsia="Calibri"/>
        </w:rPr>
        <w:t xml:space="preserve"> In some instances, </w:t>
      </w:r>
      <w:r w:rsidR="7C91E942" w:rsidRPr="4A1A8BF6">
        <w:rPr>
          <w:rFonts w:eastAsia="Calibri"/>
        </w:rPr>
        <w:t xml:space="preserve">decarbonization investments can result in </w:t>
      </w:r>
      <w:proofErr w:type="spellStart"/>
      <w:r w:rsidR="7C91E942" w:rsidRPr="4A1A8BF6">
        <w:rPr>
          <w:rFonts w:eastAsia="Calibri"/>
        </w:rPr>
        <w:t>underwritable</w:t>
      </w:r>
      <w:proofErr w:type="spellEnd"/>
      <w:r w:rsidR="7C91E942" w:rsidRPr="4A1A8BF6">
        <w:rPr>
          <w:rFonts w:eastAsia="Calibri"/>
        </w:rPr>
        <w:t xml:space="preserve"> </w:t>
      </w:r>
      <w:r w:rsidR="7C91E942" w:rsidRPr="4A1A8BF6">
        <w:rPr>
          <w:rFonts w:eastAsia="Calibri"/>
        </w:rPr>
        <w:t>energy savings</w:t>
      </w:r>
      <w:r w:rsidR="47055923" w:rsidRPr="4A1A8BF6">
        <w:rPr>
          <w:rFonts w:eastAsia="Calibri"/>
        </w:rPr>
        <w:t xml:space="preserve"> (meaning that decarbonization investments can pay for themselves and thus be financed)</w:t>
      </w:r>
      <w:r w:rsidRPr="4A1A8BF6">
        <w:rPr>
          <w:rFonts w:eastAsia="Calibri"/>
        </w:rPr>
        <w:t>, and in others, electrification and/or efficiency upgrades will need to be incentivized with a combination of lower cost capital and grants.</w:t>
      </w:r>
      <w:r w:rsidR="72C8306F" w:rsidRPr="4A1A8BF6">
        <w:rPr>
          <w:rFonts w:eastAsia="Calibri"/>
        </w:rPr>
        <w:t xml:space="preserve"> </w:t>
      </w:r>
    </w:p>
    <w:p w14:paraId="358A05BA" w14:textId="547FA92E" w:rsidR="3F4756A7" w:rsidRDefault="3F4756A7" w:rsidP="3F4756A7"/>
    <w:p w14:paraId="11C48648" w14:textId="51E289BE" w:rsidR="00416548" w:rsidRPr="00903FBB" w:rsidRDefault="2906F89D" w:rsidP="1D7C1DBF">
      <w:pPr>
        <w:pStyle w:val="ListParagraph"/>
        <w:numPr>
          <w:ilvl w:val="0"/>
          <w:numId w:val="15"/>
        </w:numPr>
        <w:spacing w:line="259" w:lineRule="auto"/>
      </w:pPr>
      <w:r w:rsidRPr="4A1A8BF6">
        <w:rPr>
          <w:color w:val="000000" w:themeColor="text1"/>
        </w:rPr>
        <w:t xml:space="preserve">According to the </w:t>
      </w:r>
      <w:hyperlink r:id="rId34">
        <w:r w:rsidR="486013DD" w:rsidRPr="4A1A8BF6">
          <w:rPr>
            <w:rStyle w:val="Hyperlink"/>
          </w:rPr>
          <w:t>City of San Jose’s Framework for Existing Building Electrification</w:t>
        </w:r>
      </w:hyperlink>
      <w:r w:rsidRPr="4A1A8BF6">
        <w:rPr>
          <w:color w:val="000000" w:themeColor="text1"/>
        </w:rPr>
        <w:t xml:space="preserve">, estimated decarbonization retrofit costs </w:t>
      </w:r>
      <w:r w:rsidR="691BDA5E" w:rsidRPr="4A1A8BF6">
        <w:rPr>
          <w:color w:val="000000" w:themeColor="text1"/>
        </w:rPr>
        <w:t xml:space="preserve">are </w:t>
      </w:r>
      <w:r w:rsidRPr="4A1A8BF6">
        <w:rPr>
          <w:color w:val="000000" w:themeColor="text1"/>
        </w:rPr>
        <w:t xml:space="preserve">$24,000 and up per unit, </w:t>
      </w:r>
      <w:r w:rsidR="068F0007" w:rsidRPr="4A1A8BF6">
        <w:rPr>
          <w:color w:val="000000" w:themeColor="text1"/>
        </w:rPr>
        <w:t xml:space="preserve">which can result </w:t>
      </w:r>
      <w:r w:rsidRPr="4A1A8BF6">
        <w:rPr>
          <w:color w:val="000000" w:themeColor="text1"/>
        </w:rPr>
        <w:t>in modest annual operating cost savings if implemented with central AC</w:t>
      </w:r>
      <w:r w:rsidR="7463A11E" w:rsidRPr="4A1A8BF6">
        <w:rPr>
          <w:color w:val="000000" w:themeColor="text1"/>
        </w:rPr>
        <w:t>.</w:t>
      </w:r>
      <w:r w:rsidRPr="4A1A8BF6">
        <w:rPr>
          <w:color w:val="000000" w:themeColor="text1"/>
        </w:rPr>
        <w:t xml:space="preserve"> </w:t>
      </w:r>
      <w:r w:rsidR="33339CD7" w:rsidRPr="4A1A8BF6">
        <w:rPr>
          <w:color w:val="000000" w:themeColor="text1"/>
        </w:rPr>
        <w:t xml:space="preserve">However, if those same investments included </w:t>
      </w:r>
      <w:r w:rsidRPr="4A1A8BF6">
        <w:rPr>
          <w:color w:val="000000" w:themeColor="text1"/>
        </w:rPr>
        <w:t>on-site solar to offset increased electricity bills, increased savings upwards of $600 per year</w:t>
      </w:r>
      <w:r w:rsidR="639A05AC" w:rsidRPr="4A1A8BF6">
        <w:rPr>
          <w:color w:val="000000" w:themeColor="text1"/>
        </w:rPr>
        <w:t xml:space="preserve"> can be achieved</w:t>
      </w:r>
      <w:r w:rsidRPr="4A1A8BF6">
        <w:rPr>
          <w:color w:val="000000" w:themeColor="text1"/>
        </w:rPr>
        <w:t xml:space="preserve">. </w:t>
      </w:r>
      <w:r w:rsidR="6DA94EF8" w:rsidRPr="4A1A8BF6">
        <w:t xml:space="preserve">More </w:t>
      </w:r>
      <w:r w:rsidR="6DA94EF8">
        <w:t>jurisdictions and NGO’s will be assembling cost data for holistic building</w:t>
      </w:r>
      <w:r w:rsidR="07A1AA57">
        <w:t xml:space="preserve"> decarbonization retrofits in multifamily buildings as more decarbonization policies for existing buildings emerge.</w:t>
      </w:r>
    </w:p>
    <w:p w14:paraId="7A76321B" w14:textId="4E0251CA" w:rsidR="3F4756A7" w:rsidRDefault="3F4756A7" w:rsidP="3F4756A7">
      <w:pPr>
        <w:spacing w:line="259" w:lineRule="auto"/>
      </w:pPr>
    </w:p>
    <w:p w14:paraId="21EABE97" w14:textId="5C1917E8" w:rsidR="003D2B46" w:rsidRPr="00903FBB" w:rsidRDefault="58F0722F" w:rsidP="1D7C1DBF">
      <w:pPr>
        <w:pStyle w:val="ListParagraph"/>
        <w:numPr>
          <w:ilvl w:val="0"/>
          <w:numId w:val="15"/>
        </w:numPr>
        <w:spacing w:line="259" w:lineRule="auto"/>
      </w:pPr>
      <w:r>
        <w:t xml:space="preserve">Underscoring the regional variability of costs of operating all electric multifamily building, a </w:t>
      </w:r>
      <w:hyperlink r:id="rId35">
        <w:r w:rsidRPr="4A1A8BF6">
          <w:rPr>
            <w:rStyle w:val="Hyperlink"/>
          </w:rPr>
          <w:t>Chicago report conducted by Energy Futures Group</w:t>
        </w:r>
      </w:hyperlink>
      <w:r>
        <w:t xml:space="preserve"> found that </w:t>
      </w:r>
      <w:r w:rsidR="795499B9">
        <w:t xml:space="preserve">full </w:t>
      </w:r>
      <w:r w:rsidR="619C1BB3">
        <w:t xml:space="preserve">electrification of a home in a multifamily building would result in first year </w:t>
      </w:r>
      <w:r w:rsidR="113B40A9">
        <w:t xml:space="preserve">energy </w:t>
      </w:r>
      <w:r w:rsidR="619C1BB3">
        <w:t>bill savings of $1,036, without any additional energy efficiency or on-site ener</w:t>
      </w:r>
      <w:r w:rsidR="26A55FC5">
        <w:t xml:space="preserve">gy production or storage measures included. </w:t>
      </w:r>
    </w:p>
    <w:p w14:paraId="2C7B3375" w14:textId="62CE6B0B" w:rsidR="003D2B46" w:rsidRPr="00903FBB" w:rsidRDefault="003D2B46" w:rsidP="575FBCA5">
      <w:pPr>
        <w:spacing w:line="259" w:lineRule="auto"/>
      </w:pPr>
    </w:p>
    <w:p w14:paraId="24F51F1E" w14:textId="488A5E2C" w:rsidR="003D2B46" w:rsidRPr="00903FBB" w:rsidDel="00EB0ED2" w:rsidRDefault="54925002" w:rsidP="1D7C1DBF">
      <w:pPr>
        <w:pStyle w:val="ListParagraph"/>
        <w:numPr>
          <w:ilvl w:val="0"/>
          <w:numId w:val="15"/>
        </w:numPr>
        <w:spacing w:line="259" w:lineRule="auto"/>
      </w:pPr>
      <w:r w:rsidRPr="4A1A8BF6">
        <w:rPr>
          <w:b/>
          <w:bCs/>
          <w:i/>
          <w:iCs/>
        </w:rPr>
        <w:t>Decarbonized new construction projects do not pose the same up-front cost issues that decarbonization retrofits do</w:t>
      </w:r>
      <w:r w:rsidRPr="1D7C1DBF">
        <w:t xml:space="preserve"> – most projects see lower development costs as well as lower operational costs.</w:t>
      </w:r>
      <w:r w:rsidR="00A858ED">
        <w:rPr>
          <w:rStyle w:val="FootnoteReference"/>
        </w:rPr>
        <w:footnoteReference w:id="13"/>
      </w:r>
      <w:r w:rsidRPr="1D7C1DBF">
        <w:t xml:space="preserve"> For example, </w:t>
      </w:r>
      <w:hyperlink r:id="rId36">
        <w:r w:rsidRPr="1D7C1DBF">
          <w:rPr>
            <w:rStyle w:val="Hyperlink"/>
            <w:color w:val="auto"/>
          </w:rPr>
          <w:t>one affordable multifamily housing development in San Francisco, CA</w:t>
        </w:r>
      </w:hyperlink>
      <w:r w:rsidRPr="1D7C1DBF">
        <w:t xml:space="preserve"> saved roughly $250,000 through decarbonization measures. The developer then put those savings toward an energy-recovery ventilation system that reduces HVAC electricity consumption and filters airborne debris, as well as toward energy resilience in the form of solar panels and battery storage that can provide lighting and power to essential needs.</w:t>
      </w:r>
    </w:p>
    <w:p w14:paraId="6B67D5C9" w14:textId="72EED3AA" w:rsidR="02E88350" w:rsidRPr="00B970E6" w:rsidRDefault="02E88350" w:rsidP="0070035D">
      <w:pPr>
        <w:pStyle w:val="Heading2"/>
        <w:rPr>
          <w:sz w:val="28"/>
          <w:szCs w:val="28"/>
        </w:rPr>
      </w:pPr>
    </w:p>
    <w:p w14:paraId="35BDCDE5" w14:textId="74CD67F6" w:rsidR="00F02D4A" w:rsidRPr="0070035D" w:rsidRDefault="49BD79ED" w:rsidP="00C74986">
      <w:pPr>
        <w:pStyle w:val="Heading2"/>
      </w:pPr>
      <w:r w:rsidRPr="00B970E6">
        <w:rPr>
          <w:sz w:val="28"/>
          <w:szCs w:val="28"/>
        </w:rPr>
        <w:t xml:space="preserve">Barriers to </w:t>
      </w:r>
      <w:r w:rsidR="00F02D4A" w:rsidRPr="00C74986">
        <w:rPr>
          <w:sz w:val="28"/>
          <w:szCs w:val="28"/>
        </w:rPr>
        <w:t>M</w:t>
      </w:r>
      <w:r w:rsidRPr="0070035D">
        <w:rPr>
          <w:sz w:val="28"/>
          <w:szCs w:val="28"/>
        </w:rPr>
        <w:t xml:space="preserve">arket </w:t>
      </w:r>
      <w:r w:rsidR="00F02D4A" w:rsidRPr="00C74986">
        <w:rPr>
          <w:sz w:val="28"/>
          <w:szCs w:val="28"/>
        </w:rPr>
        <w:t>D</w:t>
      </w:r>
      <w:r w:rsidRPr="0070035D">
        <w:rPr>
          <w:sz w:val="28"/>
          <w:szCs w:val="28"/>
        </w:rPr>
        <w:t xml:space="preserve">evelopment, </w:t>
      </w:r>
      <w:r w:rsidR="00F02D4A" w:rsidRPr="00C74986">
        <w:rPr>
          <w:sz w:val="28"/>
          <w:szCs w:val="28"/>
        </w:rPr>
        <w:t>D</w:t>
      </w:r>
      <w:r w:rsidRPr="0070035D">
        <w:rPr>
          <w:sz w:val="28"/>
          <w:szCs w:val="28"/>
        </w:rPr>
        <w:t>eployment</w:t>
      </w:r>
      <w:r w:rsidR="3D70B4E7" w:rsidRPr="0070035D">
        <w:rPr>
          <w:sz w:val="28"/>
          <w:szCs w:val="28"/>
        </w:rPr>
        <w:t>,</w:t>
      </w:r>
      <w:r w:rsidRPr="0070035D">
        <w:rPr>
          <w:sz w:val="28"/>
          <w:szCs w:val="28"/>
        </w:rPr>
        <w:t xml:space="preserve"> and </w:t>
      </w:r>
      <w:r w:rsidR="00F02D4A" w:rsidRPr="00C74986">
        <w:rPr>
          <w:sz w:val="28"/>
          <w:szCs w:val="28"/>
        </w:rPr>
        <w:t>I</w:t>
      </w:r>
      <w:r w:rsidRPr="0070035D">
        <w:rPr>
          <w:sz w:val="28"/>
          <w:szCs w:val="28"/>
        </w:rPr>
        <w:t>mpact</w:t>
      </w:r>
    </w:p>
    <w:p w14:paraId="37B90500" w14:textId="0371E11E" w:rsidR="002423C0" w:rsidRPr="00903FBB" w:rsidRDefault="75B1ED93" w:rsidP="0070035D">
      <w:pPr>
        <w:rPr>
          <w:b/>
          <w:bCs/>
        </w:rPr>
      </w:pPr>
      <w:r>
        <w:t>In this section, we describe the complicated set of economic, physical, regulatory, and social barriers to developing the energy retrofit market for this sector, getting investable deals, and achieving impact. The challenges are particularly acute in LMI and disadvantaged communities.</w:t>
      </w:r>
      <w:r w:rsidR="5921FA65">
        <w:t xml:space="preserve"> </w:t>
      </w:r>
      <w:r w:rsidR="2090263C">
        <w:t>While a</w:t>
      </w:r>
      <w:r w:rsidR="50C885D4">
        <w:t xml:space="preserve"> number of barriers exist to decarbonize multifamily housing, particularly when considering retrofits of existing buildings</w:t>
      </w:r>
      <w:r w:rsidR="659E304D">
        <w:t xml:space="preserve">, </w:t>
      </w:r>
      <w:r w:rsidR="659E304D" w:rsidRPr="4A1A8BF6">
        <w:rPr>
          <w:b/>
          <w:bCs/>
        </w:rPr>
        <w:t xml:space="preserve">there are proven financing and technical assistance </w:t>
      </w:r>
      <w:r w:rsidR="659E304D" w:rsidRPr="4A1A8BF6">
        <w:rPr>
          <w:b/>
          <w:bCs/>
        </w:rPr>
        <w:lastRenderedPageBreak/>
        <w:t>strategies that can be deployed to scale affordable multifamily decarbonization</w:t>
      </w:r>
      <w:r w:rsidR="419562D5" w:rsidRPr="4A1A8BF6">
        <w:rPr>
          <w:b/>
          <w:bCs/>
        </w:rPr>
        <w:t xml:space="preserve">, particularly when considering the </w:t>
      </w:r>
      <w:r w:rsidR="0934317E" w:rsidRPr="4A1A8BF6">
        <w:rPr>
          <w:b/>
          <w:bCs/>
        </w:rPr>
        <w:t xml:space="preserve">role </w:t>
      </w:r>
      <w:r w:rsidR="00F00880">
        <w:rPr>
          <w:b/>
          <w:bCs/>
        </w:rPr>
        <w:t>GGRF</w:t>
      </w:r>
      <w:r w:rsidR="0934317E" w:rsidRPr="4A1A8BF6">
        <w:rPr>
          <w:b/>
          <w:bCs/>
        </w:rPr>
        <w:t xml:space="preserve"> capital can play</w:t>
      </w:r>
      <w:r w:rsidR="50C885D4" w:rsidRPr="4A1A8BF6">
        <w:rPr>
          <w:b/>
          <w:bCs/>
        </w:rPr>
        <w:t>.</w:t>
      </w:r>
    </w:p>
    <w:p w14:paraId="5C7E572A" w14:textId="21A32A8F" w:rsidR="002423C0" w:rsidRPr="00903FBB" w:rsidRDefault="002423C0" w:rsidP="1D7C1DBF"/>
    <w:p w14:paraId="3A6AF2D6" w14:textId="66B4855C" w:rsidR="002423C0" w:rsidRPr="00903FBB" w:rsidRDefault="21A60E77" w:rsidP="3F4756A7">
      <w:pPr>
        <w:pStyle w:val="ListParagraph"/>
        <w:numPr>
          <w:ilvl w:val="0"/>
          <w:numId w:val="21"/>
        </w:numPr>
      </w:pPr>
      <w:r w:rsidRPr="3F4756A7">
        <w:t xml:space="preserve">In </w:t>
      </w:r>
      <w:r w:rsidR="0EFC44FF" w:rsidRPr="3F4756A7">
        <w:t>some</w:t>
      </w:r>
      <w:r w:rsidRPr="3F4756A7">
        <w:t xml:space="preserve"> cases, electrification of buildings may actually increase current operational costs, and energy efficiency upgrades may not deliver enough </w:t>
      </w:r>
      <w:r w:rsidR="5D540D10" w:rsidRPr="3F4756A7">
        <w:t xml:space="preserve">cost savings </w:t>
      </w:r>
      <w:r w:rsidRPr="3F4756A7">
        <w:t>to offset</w:t>
      </w:r>
      <w:r w:rsidR="018230D1" w:rsidRPr="3F4756A7">
        <w:t>, particularly in the short term</w:t>
      </w:r>
      <w:r w:rsidRPr="3F4756A7">
        <w:t>.</w:t>
      </w:r>
      <w:r w:rsidR="007E035D">
        <w:rPr>
          <w:rStyle w:val="FootnoteReference"/>
        </w:rPr>
        <w:footnoteReference w:id="14"/>
      </w:r>
      <w:r w:rsidRPr="3F4756A7">
        <w:t xml:space="preserve"> </w:t>
      </w:r>
      <w:r w:rsidR="50C885D4" w:rsidRPr="3F4756A7">
        <w:t>A long list of excellent reports and research have documented these barriers, including work from the American Council for an Energy-Efficient Economy</w:t>
      </w:r>
      <w:r w:rsidR="002F541A" w:rsidRPr="3F4756A7">
        <w:rPr>
          <w:rStyle w:val="FootnoteReference"/>
        </w:rPr>
        <w:footnoteReference w:id="15"/>
      </w:r>
      <w:r w:rsidR="50C885D4" w:rsidRPr="3F4756A7">
        <w:t xml:space="preserve">, </w:t>
      </w:r>
      <w:r w:rsidR="6C0CE5BE" w:rsidRPr="3F4756A7">
        <w:t>The State and Local Energy Efficiency Action Network</w:t>
      </w:r>
      <w:r w:rsidR="002423C0" w:rsidRPr="3F4756A7">
        <w:rPr>
          <w:rStyle w:val="FootnoteReference"/>
        </w:rPr>
        <w:footnoteReference w:id="16"/>
      </w:r>
      <w:r w:rsidR="6C0CE5BE" w:rsidRPr="3F4756A7">
        <w:t xml:space="preserve">, </w:t>
      </w:r>
      <w:r w:rsidR="50C885D4" w:rsidRPr="3F4756A7">
        <w:t>Energy Programs Consortium</w:t>
      </w:r>
      <w:r w:rsidR="002F541A" w:rsidRPr="3F4756A7">
        <w:rPr>
          <w:rStyle w:val="FootnoteReference"/>
        </w:rPr>
        <w:footnoteReference w:id="17"/>
      </w:r>
      <w:r w:rsidR="50C885D4" w:rsidRPr="3F4756A7">
        <w:t>,</w:t>
      </w:r>
      <w:r w:rsidR="6C0CE5BE" w:rsidRPr="3F4756A7">
        <w:t xml:space="preserve"> and</w:t>
      </w:r>
      <w:r w:rsidR="50C885D4" w:rsidRPr="3F4756A7">
        <w:t xml:space="preserve"> the US Department of Energy</w:t>
      </w:r>
      <w:r w:rsidR="002F541A" w:rsidRPr="3F4756A7">
        <w:rPr>
          <w:rStyle w:val="FootnoteReference"/>
        </w:rPr>
        <w:footnoteReference w:id="18"/>
      </w:r>
      <w:r w:rsidR="00FA08C9">
        <w:t>.</w:t>
      </w:r>
    </w:p>
    <w:p w14:paraId="02CDEB46" w14:textId="77777777" w:rsidR="002423C0" w:rsidRPr="00903FBB" w:rsidRDefault="002423C0" w:rsidP="002423C0">
      <w:pPr>
        <w:pStyle w:val="ListParagraph"/>
        <w:rPr>
          <w:rFonts w:cstheme="minorHAnsi"/>
        </w:rPr>
      </w:pPr>
    </w:p>
    <w:p w14:paraId="65767949" w14:textId="04BA47D5" w:rsidR="002423C0" w:rsidRPr="0070035D" w:rsidRDefault="6C0CE5BE" w:rsidP="1D7C1DBF">
      <w:pPr>
        <w:pStyle w:val="ListParagraph"/>
        <w:numPr>
          <w:ilvl w:val="0"/>
          <w:numId w:val="21"/>
        </w:numPr>
        <w:rPr>
          <w:u w:val="single"/>
        </w:rPr>
      </w:pPr>
      <w:r>
        <w:t xml:space="preserve">Overall, </w:t>
      </w:r>
      <w:r w:rsidR="32FD900D">
        <w:t xml:space="preserve">some of the most common </w:t>
      </w:r>
      <w:r>
        <w:t>barriers can be broken into the</w:t>
      </w:r>
      <w:r w:rsidR="7956A7F5">
        <w:t xml:space="preserve"> categories below. It is important to note</w:t>
      </w:r>
      <w:r w:rsidR="64ADDD83">
        <w:t xml:space="preserve"> however</w:t>
      </w:r>
      <w:r w:rsidR="7956A7F5">
        <w:t xml:space="preserve">, </w:t>
      </w:r>
      <w:r w:rsidR="7956A7F5" w:rsidRPr="4A1A8BF6">
        <w:rPr>
          <w:b/>
          <w:bCs/>
          <w:i/>
          <w:iCs/>
        </w:rPr>
        <w:t>many of these barriers can be overcome with a strategic approach to building decarbonization that pairs smart</w:t>
      </w:r>
      <w:r w:rsidR="410D90E0" w:rsidRPr="4A1A8BF6">
        <w:rPr>
          <w:b/>
          <w:bCs/>
          <w:i/>
          <w:iCs/>
        </w:rPr>
        <w:t xml:space="preserve">, </w:t>
      </w:r>
      <w:r w:rsidR="7D0DA580" w:rsidRPr="4A1A8BF6">
        <w:rPr>
          <w:b/>
          <w:bCs/>
          <w:i/>
          <w:iCs/>
        </w:rPr>
        <w:t>flexible</w:t>
      </w:r>
      <w:r w:rsidR="76E01E97" w:rsidRPr="4A1A8BF6">
        <w:rPr>
          <w:b/>
          <w:bCs/>
          <w:i/>
          <w:iCs/>
        </w:rPr>
        <w:t>, and subsidized</w:t>
      </w:r>
      <w:r w:rsidR="7956A7F5" w:rsidRPr="4A1A8BF6">
        <w:rPr>
          <w:b/>
          <w:bCs/>
          <w:i/>
          <w:iCs/>
        </w:rPr>
        <w:t xml:space="preserve"> lending with high-quality technical assistance on the ground.</w:t>
      </w:r>
    </w:p>
    <w:p w14:paraId="683888B6" w14:textId="77777777" w:rsidR="00FA08C9" w:rsidRPr="0070035D" w:rsidRDefault="00FA08C9" w:rsidP="0070035D">
      <w:pPr>
        <w:rPr>
          <w:u w:val="single"/>
        </w:rPr>
      </w:pPr>
    </w:p>
    <w:p w14:paraId="1CB9D035" w14:textId="0F6F806F" w:rsidR="002423C0" w:rsidRPr="0070035D" w:rsidRDefault="002423C0" w:rsidP="002423C0">
      <w:pPr>
        <w:pStyle w:val="ListParagraph"/>
        <w:numPr>
          <w:ilvl w:val="1"/>
          <w:numId w:val="21"/>
        </w:numPr>
        <w:rPr>
          <w:rFonts w:cstheme="minorHAnsi"/>
          <w:b/>
          <w:bCs/>
          <w:i/>
          <w:iCs/>
        </w:rPr>
      </w:pPr>
      <w:r w:rsidRPr="0070035D">
        <w:rPr>
          <w:rFonts w:cstheme="minorHAnsi"/>
          <w:b/>
          <w:bCs/>
          <w:i/>
          <w:iCs/>
        </w:rPr>
        <w:t>Owner Barriers</w:t>
      </w:r>
      <w:r w:rsidR="00A46689" w:rsidRPr="0070035D">
        <w:rPr>
          <w:rFonts w:cstheme="minorHAnsi"/>
          <w:b/>
          <w:bCs/>
          <w:i/>
          <w:iCs/>
        </w:rPr>
        <w:t>:</w:t>
      </w:r>
    </w:p>
    <w:p w14:paraId="6FAEA827" w14:textId="4340607A" w:rsidR="002423C0" w:rsidRPr="00903FBB" w:rsidRDefault="002423C0" w:rsidP="002423C0">
      <w:pPr>
        <w:pStyle w:val="ListParagraph"/>
        <w:numPr>
          <w:ilvl w:val="2"/>
          <w:numId w:val="21"/>
        </w:numPr>
        <w:rPr>
          <w:rFonts w:cstheme="minorHAnsi"/>
        </w:rPr>
      </w:pPr>
      <w:r w:rsidRPr="00903FBB">
        <w:rPr>
          <w:rFonts w:cstheme="minorHAnsi"/>
          <w:u w:val="single"/>
        </w:rPr>
        <w:t>Split Incentive</w:t>
      </w:r>
      <w:r w:rsidRPr="00903FBB">
        <w:rPr>
          <w:rFonts w:cstheme="minorHAnsi"/>
          <w:b/>
          <w:bCs/>
        </w:rPr>
        <w:t>:</w:t>
      </w:r>
      <w:r w:rsidR="001233F6" w:rsidRPr="00903FBB">
        <w:rPr>
          <w:rFonts w:cstheme="minorHAnsi"/>
          <w:b/>
          <w:bCs/>
        </w:rPr>
        <w:t xml:space="preserve"> </w:t>
      </w:r>
      <w:r w:rsidR="001233F6" w:rsidRPr="00903FBB">
        <w:rPr>
          <w:rFonts w:cstheme="minorHAnsi"/>
        </w:rPr>
        <w:t>Owners of multifamily buildings that are individually metered or receive utility allowances do not necessarily have an incentive to pay for energy efficiency upgrades since they will not receive the monetary benefits of such upgrades.</w:t>
      </w:r>
    </w:p>
    <w:p w14:paraId="1F754AB0" w14:textId="0E312F73" w:rsidR="002423C0" w:rsidRPr="00903FBB" w:rsidRDefault="002423C0" w:rsidP="002423C0">
      <w:pPr>
        <w:pStyle w:val="ListParagraph"/>
        <w:numPr>
          <w:ilvl w:val="2"/>
          <w:numId w:val="21"/>
        </w:numPr>
        <w:rPr>
          <w:rFonts w:cstheme="minorHAnsi"/>
        </w:rPr>
      </w:pPr>
      <w:r w:rsidRPr="00903FBB">
        <w:rPr>
          <w:rFonts w:cstheme="minorHAnsi"/>
          <w:u w:val="single"/>
        </w:rPr>
        <w:t>Limited cash flow for mid</w:t>
      </w:r>
      <w:r w:rsidR="00BC5EED" w:rsidRPr="00903FBB">
        <w:rPr>
          <w:rFonts w:cstheme="minorHAnsi"/>
          <w:u w:val="single"/>
        </w:rPr>
        <w:t>-</w:t>
      </w:r>
      <w:r w:rsidRPr="00903FBB">
        <w:rPr>
          <w:rFonts w:cstheme="minorHAnsi"/>
          <w:u w:val="single"/>
        </w:rPr>
        <w:t>cycle investments</w:t>
      </w:r>
      <w:r w:rsidRPr="00903FBB">
        <w:rPr>
          <w:rFonts w:cstheme="minorHAnsi"/>
        </w:rPr>
        <w:t xml:space="preserve">: Typically, owners of </w:t>
      </w:r>
      <w:r w:rsidR="00945E63">
        <w:rPr>
          <w:rFonts w:cstheme="minorHAnsi"/>
        </w:rPr>
        <w:t xml:space="preserve">subsidized </w:t>
      </w:r>
      <w:r w:rsidRPr="00903FBB">
        <w:rPr>
          <w:rFonts w:cstheme="minorHAnsi"/>
        </w:rPr>
        <w:t xml:space="preserve">affordable housing have affordability covenants on their property, which limit their ability to increase rent to cover energy efficiency or electrification investments. Additionally, many soft/gap financing programs are repaid on a cash flow basis, which further limits the ability of owners to save for future decarbonization upgrades. </w:t>
      </w:r>
    </w:p>
    <w:p w14:paraId="3C2367B4" w14:textId="4C903A39" w:rsidR="006A19CD" w:rsidRPr="00903FBB" w:rsidRDefault="006A19CD" w:rsidP="006A19CD">
      <w:pPr>
        <w:pStyle w:val="ListParagraph"/>
        <w:numPr>
          <w:ilvl w:val="2"/>
          <w:numId w:val="21"/>
        </w:numPr>
        <w:rPr>
          <w:rFonts w:cstheme="minorHAnsi"/>
        </w:rPr>
      </w:pPr>
      <w:r w:rsidRPr="00903FBB">
        <w:rPr>
          <w:rFonts w:cstheme="minorHAnsi"/>
          <w:u w:val="single"/>
        </w:rPr>
        <w:t>Dispersed and complex ownership structure</w:t>
      </w:r>
      <w:r w:rsidRPr="00903FBB">
        <w:rPr>
          <w:rFonts w:cstheme="minorHAnsi"/>
        </w:rPr>
        <w:t xml:space="preserve">: </w:t>
      </w:r>
      <w:r w:rsidR="007603E2">
        <w:rPr>
          <w:rFonts w:cstheme="minorHAnsi"/>
        </w:rPr>
        <w:t>T</w:t>
      </w:r>
      <w:r w:rsidRPr="00903FBB">
        <w:rPr>
          <w:rFonts w:cstheme="minorHAnsi"/>
        </w:rPr>
        <w:t>he varying ownership structures of multifamily housing mean that decision-making is diffuse, and many parties may not make the effort or have the capacity to understand the benefits of decarbonization investment.</w:t>
      </w:r>
    </w:p>
    <w:p w14:paraId="59667F7B" w14:textId="27BF6B4C" w:rsidR="001233F6" w:rsidRPr="00903FBB" w:rsidRDefault="002423C0" w:rsidP="002423C0">
      <w:pPr>
        <w:pStyle w:val="ListParagraph"/>
        <w:numPr>
          <w:ilvl w:val="2"/>
          <w:numId w:val="21"/>
        </w:numPr>
        <w:rPr>
          <w:rFonts w:eastAsia="Calibri" w:cstheme="minorHAnsi"/>
        </w:rPr>
      </w:pPr>
      <w:r w:rsidRPr="00903FBB">
        <w:rPr>
          <w:rFonts w:eastAsia="Calibri" w:cstheme="minorHAnsi"/>
          <w:u w:val="single"/>
        </w:rPr>
        <w:t>Lack of capital planning</w:t>
      </w:r>
      <w:r w:rsidRPr="00903FBB">
        <w:rPr>
          <w:rFonts w:eastAsia="Calibri" w:cstheme="minorHAnsi"/>
          <w:b/>
          <w:bCs/>
        </w:rPr>
        <w:t>:</w:t>
      </w:r>
      <w:r w:rsidR="001233F6" w:rsidRPr="00903FBB">
        <w:rPr>
          <w:rFonts w:eastAsia="Calibri" w:cstheme="minorHAnsi"/>
          <w:b/>
          <w:bCs/>
        </w:rPr>
        <w:t xml:space="preserve"> </w:t>
      </w:r>
      <w:r w:rsidR="001233F6" w:rsidRPr="00903FBB">
        <w:rPr>
          <w:rFonts w:eastAsia="Calibri" w:cstheme="minorHAnsi"/>
        </w:rPr>
        <w:t>Many owners upgrade their systems reactively, typically when equipment breaks down or a unit turns</w:t>
      </w:r>
      <w:r w:rsidR="006B2202" w:rsidRPr="00903FBB">
        <w:rPr>
          <w:rFonts w:eastAsia="Calibri" w:cstheme="minorHAnsi"/>
        </w:rPr>
        <w:t xml:space="preserve"> </w:t>
      </w:r>
      <w:r w:rsidR="001233F6" w:rsidRPr="00903FBB">
        <w:rPr>
          <w:rFonts w:eastAsia="Calibri" w:cstheme="minorHAnsi"/>
        </w:rPr>
        <w:t xml:space="preserve">over. When making these upgrades, owners </w:t>
      </w:r>
      <w:r w:rsidR="006B2202" w:rsidRPr="00903FBB">
        <w:rPr>
          <w:rFonts w:eastAsia="Calibri" w:cstheme="minorHAnsi"/>
        </w:rPr>
        <w:t>may</w:t>
      </w:r>
      <w:r w:rsidR="001233F6" w:rsidRPr="00903FBB">
        <w:rPr>
          <w:rFonts w:eastAsia="Calibri" w:cstheme="minorHAnsi"/>
        </w:rPr>
        <w:t xml:space="preserve"> focus on like-for-like replacement rather than taking a longer-term retrofit plan</w:t>
      </w:r>
      <w:r w:rsidR="006B2202" w:rsidRPr="00903FBB">
        <w:rPr>
          <w:rFonts w:eastAsia="Calibri" w:cstheme="minorHAnsi"/>
        </w:rPr>
        <w:t>ning approach</w:t>
      </w:r>
      <w:r w:rsidR="001233F6" w:rsidRPr="00903FBB">
        <w:rPr>
          <w:rFonts w:eastAsia="Calibri" w:cstheme="minorHAnsi"/>
        </w:rPr>
        <w:t xml:space="preserve"> to enhance </w:t>
      </w:r>
      <w:r w:rsidR="001233F6" w:rsidRPr="00903FBB">
        <w:rPr>
          <w:rFonts w:eastAsia="Calibri" w:cstheme="minorHAnsi"/>
        </w:rPr>
        <w:lastRenderedPageBreak/>
        <w:t xml:space="preserve">their building </w:t>
      </w:r>
      <w:r w:rsidR="006B2202" w:rsidRPr="00903FBB">
        <w:rPr>
          <w:rFonts w:eastAsia="Calibri" w:cstheme="minorHAnsi"/>
        </w:rPr>
        <w:t>with systems that are less expensive to operate and maintain.</w:t>
      </w:r>
    </w:p>
    <w:p w14:paraId="45E534AA" w14:textId="223A64FA" w:rsidR="002423C0" w:rsidRDefault="002423C0" w:rsidP="002423C0">
      <w:pPr>
        <w:pStyle w:val="ListParagraph"/>
        <w:numPr>
          <w:ilvl w:val="2"/>
          <w:numId w:val="21"/>
        </w:numPr>
        <w:rPr>
          <w:rFonts w:cstheme="minorHAnsi"/>
        </w:rPr>
      </w:pPr>
      <w:r w:rsidRPr="00903FBB">
        <w:rPr>
          <w:rFonts w:cstheme="minorHAnsi"/>
          <w:u w:val="single"/>
        </w:rPr>
        <w:t xml:space="preserve">Owner </w:t>
      </w:r>
      <w:r w:rsidR="00B7775A" w:rsidRPr="00903FBB">
        <w:rPr>
          <w:rFonts w:cstheme="minorHAnsi"/>
          <w:u w:val="single"/>
        </w:rPr>
        <w:t>capacity</w:t>
      </w:r>
      <w:r w:rsidR="006B2202" w:rsidRPr="00903FBB">
        <w:rPr>
          <w:rFonts w:cstheme="minorHAnsi"/>
        </w:rPr>
        <w:t>: Many operators do not have the staff power, expertise, or time to track energy usage data and put together an energy efficiency and electrification strategy. Similarly, many smaller operators may not have the capacity to manage contractors to make sure work is appropriately executed.</w:t>
      </w:r>
    </w:p>
    <w:p w14:paraId="7426CC7C" w14:textId="77777777" w:rsidR="00FA08C9" w:rsidRPr="00FA08C9" w:rsidRDefault="00FA08C9" w:rsidP="00F67535">
      <w:pPr>
        <w:ind w:left="1800"/>
        <w:rPr>
          <w:rFonts w:cstheme="minorHAnsi"/>
        </w:rPr>
      </w:pPr>
    </w:p>
    <w:p w14:paraId="7EBAB700" w14:textId="33F272B8" w:rsidR="005F60A5" w:rsidRPr="00903FBB" w:rsidRDefault="00B7775A" w:rsidP="005F60A5">
      <w:pPr>
        <w:pStyle w:val="ListParagraph"/>
        <w:numPr>
          <w:ilvl w:val="1"/>
          <w:numId w:val="21"/>
        </w:numPr>
        <w:rPr>
          <w:rFonts w:cstheme="minorHAnsi"/>
          <w:b/>
          <w:bCs/>
        </w:rPr>
      </w:pPr>
      <w:r w:rsidRPr="00903FBB">
        <w:rPr>
          <w:rFonts w:cstheme="minorHAnsi"/>
          <w:b/>
          <w:bCs/>
        </w:rPr>
        <w:t>Physical and Geographic Barriers</w:t>
      </w:r>
      <w:r w:rsidR="00A46689">
        <w:rPr>
          <w:rFonts w:cstheme="minorHAnsi"/>
          <w:b/>
          <w:bCs/>
        </w:rPr>
        <w:t>:</w:t>
      </w:r>
    </w:p>
    <w:p w14:paraId="18735CD8" w14:textId="3F24E045" w:rsidR="00530A6A" w:rsidRPr="00903FBB" w:rsidRDefault="00530A6A" w:rsidP="00B7775A">
      <w:pPr>
        <w:pStyle w:val="ListParagraph"/>
        <w:numPr>
          <w:ilvl w:val="2"/>
          <w:numId w:val="21"/>
        </w:numPr>
        <w:autoSpaceDE w:val="0"/>
        <w:autoSpaceDN w:val="0"/>
        <w:adjustRightInd w:val="0"/>
        <w:rPr>
          <w:rFonts w:cstheme="minorHAnsi"/>
        </w:rPr>
      </w:pPr>
      <w:r w:rsidRPr="00903FBB">
        <w:rPr>
          <w:rFonts w:cstheme="minorHAnsi"/>
          <w:u w:val="single"/>
        </w:rPr>
        <w:t>Diverse building stock</w:t>
      </w:r>
      <w:r w:rsidR="001D5E6A" w:rsidRPr="00903FBB">
        <w:rPr>
          <w:rFonts w:cstheme="minorHAnsi"/>
          <w:u w:val="single"/>
        </w:rPr>
        <w:t xml:space="preserve"> and systems</w:t>
      </w:r>
      <w:r w:rsidR="001D5E6A" w:rsidRPr="00903FBB">
        <w:rPr>
          <w:rFonts w:cstheme="minorHAnsi"/>
        </w:rPr>
        <w:t>: The diversity of multifamily building type (garden-style; mid-rise; high-rise; etc.)</w:t>
      </w:r>
      <w:r w:rsidR="006B010F">
        <w:rPr>
          <w:rFonts w:cstheme="minorHAnsi"/>
        </w:rPr>
        <w:t xml:space="preserve">; </w:t>
      </w:r>
      <w:r w:rsidR="001D5E6A" w:rsidRPr="00903FBB">
        <w:rPr>
          <w:rFonts w:cstheme="minorHAnsi"/>
        </w:rPr>
        <w:t>the heating, cooling, and ventilation systems that they employ</w:t>
      </w:r>
      <w:r w:rsidR="006B010F">
        <w:rPr>
          <w:rFonts w:cstheme="minorHAnsi"/>
        </w:rPr>
        <w:t>; and the existing capital stack</w:t>
      </w:r>
      <w:r w:rsidR="00FA405D">
        <w:rPr>
          <w:rFonts w:cstheme="minorHAnsi"/>
        </w:rPr>
        <w:t>s and lenders involved</w:t>
      </w:r>
      <w:r w:rsidR="001D5E6A" w:rsidRPr="00903FBB">
        <w:rPr>
          <w:rFonts w:cstheme="minorHAnsi"/>
        </w:rPr>
        <w:t xml:space="preserve"> mean that there is no one-size-fits all financing solution for multifamily building decarbonization.</w:t>
      </w:r>
    </w:p>
    <w:p w14:paraId="0A2BDA5B" w14:textId="0C5B47FA" w:rsidR="001D5E6A" w:rsidRPr="00903FBB" w:rsidRDefault="002F541A" w:rsidP="005D5055">
      <w:pPr>
        <w:pStyle w:val="ListParagraph"/>
        <w:numPr>
          <w:ilvl w:val="2"/>
          <w:numId w:val="21"/>
        </w:numPr>
        <w:autoSpaceDE w:val="0"/>
        <w:autoSpaceDN w:val="0"/>
        <w:adjustRightInd w:val="0"/>
        <w:rPr>
          <w:rFonts w:cstheme="minorHAnsi"/>
        </w:rPr>
      </w:pPr>
      <w:r w:rsidRPr="00903FBB">
        <w:rPr>
          <w:rFonts w:cstheme="minorHAnsi"/>
          <w:u w:val="single"/>
        </w:rPr>
        <w:t>Building conditions</w:t>
      </w:r>
      <w:r w:rsidR="00024FCB">
        <w:rPr>
          <w:rFonts w:cstheme="minorHAnsi"/>
          <w:u w:val="single"/>
        </w:rPr>
        <w:t xml:space="preserve"> and construction uncertainty</w:t>
      </w:r>
      <w:r w:rsidR="001D5E6A" w:rsidRPr="00903FBB">
        <w:rPr>
          <w:rFonts w:cstheme="minorHAnsi"/>
        </w:rPr>
        <w:t>: Many older multifamily affordable housing buildings require significant structural</w:t>
      </w:r>
      <w:r w:rsidR="0055149C">
        <w:rPr>
          <w:rFonts w:cstheme="minorHAnsi"/>
        </w:rPr>
        <w:t>, pre-weatherization</w:t>
      </w:r>
      <w:r w:rsidR="00945E63">
        <w:rPr>
          <w:rFonts w:cstheme="minorHAnsi"/>
        </w:rPr>
        <w:t>, health and safety,</w:t>
      </w:r>
      <w:r w:rsidRPr="00903FBB">
        <w:rPr>
          <w:rFonts w:cstheme="minorHAnsi"/>
        </w:rPr>
        <w:t xml:space="preserve"> and electrical capacity</w:t>
      </w:r>
      <w:r w:rsidR="001D5E6A" w:rsidRPr="00903FBB">
        <w:rPr>
          <w:rFonts w:cstheme="minorHAnsi"/>
        </w:rPr>
        <w:t xml:space="preserve"> upgrades beyond </w:t>
      </w:r>
      <w:r w:rsidR="00B86609">
        <w:rPr>
          <w:rFonts w:cstheme="minorHAnsi"/>
        </w:rPr>
        <w:t xml:space="preserve">electrical </w:t>
      </w:r>
      <w:r w:rsidR="001D5E6A" w:rsidRPr="00903FBB">
        <w:rPr>
          <w:rFonts w:cstheme="minorHAnsi"/>
        </w:rPr>
        <w:t xml:space="preserve">system replacement in order to </w:t>
      </w:r>
      <w:r w:rsidR="00B86609">
        <w:rPr>
          <w:rFonts w:cstheme="minorHAnsi"/>
        </w:rPr>
        <w:t xml:space="preserve">fully </w:t>
      </w:r>
      <w:r w:rsidR="001D5E6A" w:rsidRPr="00903FBB">
        <w:rPr>
          <w:rFonts w:cstheme="minorHAnsi"/>
        </w:rPr>
        <w:t>decarbonize, dramatically increasing costs.</w:t>
      </w:r>
      <w:r w:rsidR="00024FCB">
        <w:rPr>
          <w:rFonts w:cstheme="minorHAnsi"/>
        </w:rPr>
        <w:t xml:space="preserve"> Additionally, uncertainty regarding construction scope of rehabs may result in higher contingencies and general conditions </w:t>
      </w:r>
      <w:r w:rsidR="00B86609">
        <w:rPr>
          <w:rFonts w:cstheme="minorHAnsi"/>
        </w:rPr>
        <w:t>in contractor bids, increasing costs</w:t>
      </w:r>
      <w:r w:rsidR="00024FCB">
        <w:rPr>
          <w:rFonts w:cstheme="minorHAnsi"/>
        </w:rPr>
        <w:t>.</w:t>
      </w:r>
    </w:p>
    <w:p w14:paraId="767EA5B5" w14:textId="24EF32C8" w:rsidR="009408E5" w:rsidRPr="00903FBB" w:rsidRDefault="009408E5" w:rsidP="005D5055">
      <w:pPr>
        <w:pStyle w:val="ListParagraph"/>
        <w:numPr>
          <w:ilvl w:val="2"/>
          <w:numId w:val="21"/>
        </w:numPr>
        <w:autoSpaceDE w:val="0"/>
        <w:autoSpaceDN w:val="0"/>
        <w:adjustRightInd w:val="0"/>
        <w:rPr>
          <w:rFonts w:cstheme="minorHAnsi"/>
        </w:rPr>
      </w:pPr>
      <w:r w:rsidRPr="00903FBB">
        <w:rPr>
          <w:rFonts w:cstheme="minorHAnsi"/>
          <w:u w:val="single"/>
        </w:rPr>
        <w:t>Physical disruption of tenants to make improvements</w:t>
      </w:r>
      <w:r w:rsidRPr="00903FBB">
        <w:rPr>
          <w:rFonts w:cstheme="minorHAnsi"/>
        </w:rPr>
        <w:t>: Many mission-oriented owners may not want to undergo significant retrofits that would require the displacement of current residents to make energy efficiency and electrification improvements.</w:t>
      </w:r>
      <w:r w:rsidR="00EF285C">
        <w:rPr>
          <w:rFonts w:cstheme="minorHAnsi"/>
        </w:rPr>
        <w:t xml:space="preserve"> In addition, </w:t>
      </w:r>
      <w:r w:rsidR="00024FCB">
        <w:rPr>
          <w:rFonts w:cstheme="minorHAnsi"/>
        </w:rPr>
        <w:t>contractors who have not completed many occupied rehabs may assign significant risk to such projects, resulting in increased costs and potentially an unwillingness to even bid.</w:t>
      </w:r>
    </w:p>
    <w:p w14:paraId="12FB1F55" w14:textId="4615FF9F" w:rsidR="002F541A" w:rsidRDefault="001D5E6A" w:rsidP="005D5055">
      <w:pPr>
        <w:pStyle w:val="ListParagraph"/>
        <w:numPr>
          <w:ilvl w:val="2"/>
          <w:numId w:val="21"/>
        </w:numPr>
        <w:autoSpaceDE w:val="0"/>
        <w:autoSpaceDN w:val="0"/>
        <w:adjustRightInd w:val="0"/>
        <w:rPr>
          <w:rFonts w:cstheme="minorHAnsi"/>
        </w:rPr>
      </w:pPr>
      <w:r w:rsidRPr="00903FBB">
        <w:rPr>
          <w:rFonts w:cstheme="minorHAnsi"/>
          <w:u w:val="single"/>
        </w:rPr>
        <w:t>Geographic variation in utility</w:t>
      </w:r>
      <w:r w:rsidR="00B86609">
        <w:rPr>
          <w:rFonts w:cstheme="minorHAnsi"/>
          <w:u w:val="single"/>
        </w:rPr>
        <w:t xml:space="preserve"> mix and</w:t>
      </w:r>
      <w:r w:rsidRPr="00903FBB">
        <w:rPr>
          <w:rFonts w:cstheme="minorHAnsi"/>
          <w:u w:val="single"/>
        </w:rPr>
        <w:t xml:space="preserve"> prices</w:t>
      </w:r>
      <w:r w:rsidRPr="00903FBB">
        <w:rPr>
          <w:rFonts w:cstheme="minorHAnsi"/>
        </w:rPr>
        <w:t>: When considered in combination with the energy source that building systems use, different scenarios can result in dramatically different payback periods for energy efficiency and electrification upgrades.</w:t>
      </w:r>
    </w:p>
    <w:p w14:paraId="63EDE2A6" w14:textId="77777777" w:rsidR="00FA08C9" w:rsidRPr="00903FBB" w:rsidRDefault="00FA08C9" w:rsidP="00F67535">
      <w:pPr>
        <w:pStyle w:val="ListParagraph"/>
        <w:autoSpaceDE w:val="0"/>
        <w:autoSpaceDN w:val="0"/>
        <w:adjustRightInd w:val="0"/>
        <w:ind w:left="2160"/>
        <w:rPr>
          <w:rFonts w:cstheme="minorHAnsi"/>
        </w:rPr>
      </w:pPr>
    </w:p>
    <w:p w14:paraId="1FB53329" w14:textId="73CE15CD" w:rsidR="002F541A" w:rsidRPr="00F67535" w:rsidRDefault="005D5055" w:rsidP="006B2202">
      <w:pPr>
        <w:pStyle w:val="ListParagraph"/>
        <w:numPr>
          <w:ilvl w:val="1"/>
          <w:numId w:val="21"/>
        </w:numPr>
        <w:autoSpaceDE w:val="0"/>
        <w:autoSpaceDN w:val="0"/>
        <w:adjustRightInd w:val="0"/>
        <w:rPr>
          <w:rFonts w:cstheme="minorHAnsi"/>
          <w:i/>
          <w:iCs/>
        </w:rPr>
      </w:pPr>
      <w:r w:rsidRPr="00F67535">
        <w:rPr>
          <w:rFonts w:cstheme="minorHAnsi"/>
          <w:b/>
          <w:bCs/>
          <w:i/>
          <w:iCs/>
        </w:rPr>
        <w:t>Financing and Regulatory Barriers</w:t>
      </w:r>
      <w:r w:rsidR="00A46689" w:rsidRPr="00F67535">
        <w:rPr>
          <w:rFonts w:cstheme="minorHAnsi"/>
          <w:b/>
          <w:bCs/>
          <w:i/>
          <w:iCs/>
        </w:rPr>
        <w:t>:</w:t>
      </w:r>
    </w:p>
    <w:p w14:paraId="5B996633" w14:textId="2BF4E894" w:rsidR="006B2202" w:rsidRPr="00903FBB" w:rsidRDefault="006B2202" w:rsidP="006B2202">
      <w:pPr>
        <w:pStyle w:val="ListParagraph"/>
        <w:numPr>
          <w:ilvl w:val="2"/>
          <w:numId w:val="21"/>
        </w:numPr>
        <w:rPr>
          <w:rFonts w:cstheme="minorHAnsi"/>
        </w:rPr>
      </w:pPr>
      <w:r w:rsidRPr="00903FBB">
        <w:rPr>
          <w:rFonts w:cstheme="minorHAnsi"/>
          <w:u w:val="single"/>
        </w:rPr>
        <w:t>Lender</w:t>
      </w:r>
      <w:r w:rsidR="00FD57E8" w:rsidRPr="00903FBB">
        <w:rPr>
          <w:rFonts w:cstheme="minorHAnsi"/>
          <w:u w:val="single"/>
        </w:rPr>
        <w:t>, investor, and government approval</w:t>
      </w:r>
      <w:r w:rsidR="006A19CD" w:rsidRPr="00903FBB">
        <w:rPr>
          <w:rFonts w:cstheme="minorHAnsi"/>
          <w:u w:val="single"/>
        </w:rPr>
        <w:t>s</w:t>
      </w:r>
      <w:r w:rsidR="00FD57E8" w:rsidRPr="00903FBB">
        <w:rPr>
          <w:rFonts w:cstheme="minorHAnsi"/>
        </w:rPr>
        <w:t xml:space="preserve">: Restrictions on the amount of debt an owner can </w:t>
      </w:r>
      <w:r w:rsidR="00BC5EED" w:rsidRPr="00903FBB">
        <w:rPr>
          <w:rFonts w:cstheme="minorHAnsi"/>
        </w:rPr>
        <w:t>carry</w:t>
      </w:r>
      <w:r w:rsidR="00FD57E8" w:rsidRPr="00903FBB">
        <w:rPr>
          <w:rFonts w:cstheme="minorHAnsi"/>
        </w:rPr>
        <w:t xml:space="preserve"> on one property, the ability to collateralize additional debt on that property, and lender/investor approval requirement, all represent significant barriers for multifamily property owners looking to make energy efficiency or electrification investments outside of a major recapitalization event.</w:t>
      </w:r>
    </w:p>
    <w:p w14:paraId="0F8C4442" w14:textId="5824CF58" w:rsidR="006B2202" w:rsidRPr="00903FBB" w:rsidRDefault="006A19CD" w:rsidP="006B2202">
      <w:pPr>
        <w:pStyle w:val="ListParagraph"/>
        <w:numPr>
          <w:ilvl w:val="2"/>
          <w:numId w:val="21"/>
        </w:numPr>
        <w:rPr>
          <w:rFonts w:cstheme="minorHAnsi"/>
        </w:rPr>
      </w:pPr>
      <w:r w:rsidRPr="00903FBB">
        <w:rPr>
          <w:rFonts w:cstheme="minorHAnsi"/>
          <w:u w:val="single"/>
        </w:rPr>
        <w:t>Buildings standards and regulation</w:t>
      </w:r>
      <w:r w:rsidRPr="00903FBB">
        <w:rPr>
          <w:rFonts w:cstheme="minorHAnsi"/>
        </w:rPr>
        <w:t>: The diverse array of building standards across the country</w:t>
      </w:r>
      <w:r w:rsidR="00574B08" w:rsidRPr="00903FBB">
        <w:rPr>
          <w:rFonts w:cstheme="minorHAnsi"/>
        </w:rPr>
        <w:t xml:space="preserve"> mean that some multifamily owners face fewer incentives than others to invest in energy efficiency and </w:t>
      </w:r>
      <w:r w:rsidR="00574B08" w:rsidRPr="00903FBB">
        <w:rPr>
          <w:rFonts w:cstheme="minorHAnsi"/>
        </w:rPr>
        <w:lastRenderedPageBreak/>
        <w:t>electrification.</w:t>
      </w:r>
      <w:r w:rsidR="007F7FC2">
        <w:rPr>
          <w:rFonts w:cstheme="minorHAnsi"/>
        </w:rPr>
        <w:t xml:space="preserve"> However more owners across the country will likely see increased incentives, as the Inflation Reduction Act (IRA) contains $1 billion for updating codes, on top of several hundred million from the Infrastructure Investment and Jobs Act (IIJA).</w:t>
      </w:r>
      <w:r w:rsidR="007F7FC2">
        <w:rPr>
          <w:rStyle w:val="FootnoteReference"/>
          <w:rFonts w:cstheme="minorHAnsi"/>
        </w:rPr>
        <w:footnoteReference w:id="19"/>
      </w:r>
    </w:p>
    <w:p w14:paraId="59E092E1" w14:textId="2846FB2D" w:rsidR="006B2202" w:rsidRDefault="009408E5" w:rsidP="009408E5">
      <w:pPr>
        <w:pStyle w:val="ListParagraph"/>
        <w:numPr>
          <w:ilvl w:val="2"/>
          <w:numId w:val="21"/>
        </w:numPr>
        <w:autoSpaceDE w:val="0"/>
        <w:autoSpaceDN w:val="0"/>
        <w:adjustRightInd w:val="0"/>
        <w:rPr>
          <w:rFonts w:cstheme="minorHAnsi"/>
        </w:rPr>
      </w:pPr>
      <w:r w:rsidRPr="00903FBB">
        <w:rPr>
          <w:rFonts w:cstheme="minorHAnsi"/>
          <w:u w:val="single"/>
        </w:rPr>
        <w:t>Legal and regulatory barriers</w:t>
      </w:r>
      <w:r w:rsidR="0098250A" w:rsidRPr="00903FBB">
        <w:rPr>
          <w:rFonts w:cstheme="minorHAnsi"/>
          <w:u w:val="single"/>
        </w:rPr>
        <w:t xml:space="preserve"> to affordable housing programs</w:t>
      </w:r>
      <w:r w:rsidR="006A19CD" w:rsidRPr="00903FBB">
        <w:rPr>
          <w:rFonts w:cstheme="minorHAnsi"/>
          <w:u w:val="single"/>
        </w:rPr>
        <w:t>:</w:t>
      </w:r>
      <w:r w:rsidRPr="00903FBB">
        <w:rPr>
          <w:rFonts w:cstheme="minorHAnsi"/>
        </w:rPr>
        <w:t xml:space="preserve"> </w:t>
      </w:r>
      <w:r w:rsidR="00574B08" w:rsidRPr="00903FBB">
        <w:rPr>
          <w:rFonts w:cstheme="minorHAnsi"/>
        </w:rPr>
        <w:t xml:space="preserve">The structures of many housing programs necessary to </w:t>
      </w:r>
      <w:r w:rsidR="001F24C4" w:rsidRPr="00903FBB">
        <w:rPr>
          <w:rFonts w:cstheme="minorHAnsi"/>
        </w:rPr>
        <w:t>build and operate</w:t>
      </w:r>
      <w:r w:rsidR="00574B08" w:rsidRPr="00903FBB">
        <w:rPr>
          <w:rFonts w:cstheme="minorHAnsi"/>
        </w:rPr>
        <w:t xml:space="preserve"> </w:t>
      </w:r>
      <w:r w:rsidR="001F24C4" w:rsidRPr="00903FBB">
        <w:rPr>
          <w:rFonts w:cstheme="minorHAnsi"/>
        </w:rPr>
        <w:t>affordable housing</w:t>
      </w:r>
      <w:r w:rsidR="00574B08" w:rsidRPr="00903FBB">
        <w:rPr>
          <w:rFonts w:cstheme="minorHAnsi"/>
        </w:rPr>
        <w:t xml:space="preserve"> come with legal and regulatory requirements</w:t>
      </w:r>
      <w:r w:rsidR="0098250A" w:rsidRPr="00903FBB">
        <w:rPr>
          <w:rFonts w:cstheme="minorHAnsi"/>
        </w:rPr>
        <w:t>, as well as tax implications,</w:t>
      </w:r>
      <w:r w:rsidR="00574B08" w:rsidRPr="00903FBB">
        <w:rPr>
          <w:rFonts w:cstheme="minorHAnsi"/>
        </w:rPr>
        <w:t xml:space="preserve"> that make </w:t>
      </w:r>
      <w:r w:rsidR="001F24C4" w:rsidRPr="00903FBB">
        <w:rPr>
          <w:rFonts w:cstheme="minorHAnsi"/>
        </w:rPr>
        <w:t>decarbonization</w:t>
      </w:r>
      <w:r w:rsidR="00574B08" w:rsidRPr="00903FBB">
        <w:rPr>
          <w:rFonts w:cstheme="minorHAnsi"/>
        </w:rPr>
        <w:t xml:space="preserve"> investments difficult to pursue</w:t>
      </w:r>
      <w:r w:rsidR="001F24C4" w:rsidRPr="00903FBB">
        <w:rPr>
          <w:rFonts w:cstheme="minorHAnsi"/>
        </w:rPr>
        <w:t>.</w:t>
      </w:r>
    </w:p>
    <w:p w14:paraId="0C2E6753" w14:textId="77777777" w:rsidR="00FA08C9" w:rsidRPr="00FA08C9" w:rsidRDefault="00FA08C9" w:rsidP="00F67535">
      <w:pPr>
        <w:autoSpaceDE w:val="0"/>
        <w:autoSpaceDN w:val="0"/>
        <w:adjustRightInd w:val="0"/>
        <w:ind w:left="1800"/>
        <w:rPr>
          <w:rFonts w:cstheme="minorHAnsi"/>
        </w:rPr>
      </w:pPr>
    </w:p>
    <w:p w14:paraId="3B337890" w14:textId="0838A784" w:rsidR="009408E5" w:rsidRPr="00F67535" w:rsidRDefault="009408E5" w:rsidP="009408E5">
      <w:pPr>
        <w:pStyle w:val="ListParagraph"/>
        <w:numPr>
          <w:ilvl w:val="1"/>
          <w:numId w:val="21"/>
        </w:numPr>
        <w:autoSpaceDE w:val="0"/>
        <w:autoSpaceDN w:val="0"/>
        <w:adjustRightInd w:val="0"/>
        <w:rPr>
          <w:rFonts w:cstheme="minorHAnsi"/>
          <w:i/>
          <w:iCs/>
        </w:rPr>
      </w:pPr>
      <w:r w:rsidRPr="00F67535">
        <w:rPr>
          <w:rFonts w:cstheme="minorHAnsi"/>
          <w:b/>
          <w:bCs/>
          <w:i/>
          <w:iCs/>
        </w:rPr>
        <w:t xml:space="preserve">Information </w:t>
      </w:r>
      <w:r w:rsidR="00FD57E8" w:rsidRPr="00F67535">
        <w:rPr>
          <w:rFonts w:cstheme="minorHAnsi"/>
          <w:b/>
          <w:bCs/>
          <w:i/>
          <w:iCs/>
        </w:rPr>
        <w:t xml:space="preserve">and Technical Expertise </w:t>
      </w:r>
      <w:r w:rsidRPr="00F67535">
        <w:rPr>
          <w:rFonts w:cstheme="minorHAnsi"/>
          <w:b/>
          <w:bCs/>
          <w:i/>
          <w:iCs/>
        </w:rPr>
        <w:t>Barriers</w:t>
      </w:r>
      <w:r w:rsidR="00A46689" w:rsidRPr="00F67535">
        <w:rPr>
          <w:rFonts w:cstheme="minorHAnsi"/>
          <w:b/>
          <w:bCs/>
          <w:i/>
          <w:iCs/>
        </w:rPr>
        <w:t>:</w:t>
      </w:r>
    </w:p>
    <w:p w14:paraId="6FE2EB07" w14:textId="4319A68A" w:rsidR="003A47FA" w:rsidRDefault="6BD85923" w:rsidP="4A1A8BF6">
      <w:pPr>
        <w:pStyle w:val="ListParagraph"/>
        <w:numPr>
          <w:ilvl w:val="2"/>
          <w:numId w:val="21"/>
        </w:numPr>
        <w:autoSpaceDE w:val="0"/>
        <w:autoSpaceDN w:val="0"/>
        <w:adjustRightInd w:val="0"/>
      </w:pPr>
      <w:r w:rsidRPr="4A1A8BF6">
        <w:rPr>
          <w:u w:val="single"/>
        </w:rPr>
        <w:t>Access to</w:t>
      </w:r>
      <w:r w:rsidR="21E3D0FF" w:rsidRPr="4A1A8BF6">
        <w:rPr>
          <w:u w:val="single"/>
        </w:rPr>
        <w:t xml:space="preserve"> data</w:t>
      </w:r>
      <w:r w:rsidRPr="4A1A8BF6">
        <w:rPr>
          <w:u w:val="single"/>
        </w:rPr>
        <w:t xml:space="preserve"> and expertise to execute a plan</w:t>
      </w:r>
      <w:r w:rsidR="0DD64778" w:rsidRPr="4A1A8BF6">
        <w:t>:</w:t>
      </w:r>
      <w:r w:rsidR="21E3D0FF" w:rsidRPr="4A1A8BF6">
        <w:t xml:space="preserve"> </w:t>
      </w:r>
      <w:r w:rsidR="0DD64778" w:rsidRPr="4A1A8BF6">
        <w:t xml:space="preserve">Multifamily owners may not have the technical </w:t>
      </w:r>
      <w:r w:rsidRPr="4A1A8BF6">
        <w:t xml:space="preserve">expertise on staff, </w:t>
      </w:r>
      <w:r w:rsidRPr="4A1A8BF6">
        <w:t>n</w:t>
      </w:r>
      <w:r w:rsidR="0DD64778" w:rsidRPr="4A1A8BF6">
        <w:t xml:space="preserve">or financial </w:t>
      </w:r>
      <w:r w:rsidR="0DD64778" w:rsidRPr="4A1A8BF6">
        <w:t>capacity to be able to easily access the complete picture of their building’s energy usage</w:t>
      </w:r>
      <w:r w:rsidRPr="4A1A8BF6">
        <w:t xml:space="preserve"> or </w:t>
      </w:r>
      <w:r w:rsidR="0DD64778" w:rsidRPr="4A1A8BF6">
        <w:t>put together a feasible and predictable energy efficiency</w:t>
      </w:r>
      <w:r w:rsidR="3AFEB8CA" w:rsidRPr="4A1A8BF6">
        <w:t xml:space="preserve"> improvement</w:t>
      </w:r>
      <w:r w:rsidR="0DD64778" w:rsidRPr="4A1A8BF6">
        <w:t xml:space="preserve"> and/or electrification model.</w:t>
      </w:r>
    </w:p>
    <w:p w14:paraId="631617F9" w14:textId="76B2C1B6" w:rsidR="008605B0" w:rsidRPr="00903FBB" w:rsidRDefault="008605B0" w:rsidP="3F4756A7">
      <w:pPr>
        <w:pStyle w:val="ListParagraph"/>
        <w:numPr>
          <w:ilvl w:val="2"/>
          <w:numId w:val="21"/>
        </w:numPr>
        <w:autoSpaceDE w:val="0"/>
        <w:autoSpaceDN w:val="0"/>
        <w:adjustRightInd w:val="0"/>
      </w:pPr>
      <w:r w:rsidRPr="3F4756A7">
        <w:rPr>
          <w:u w:val="single"/>
        </w:rPr>
        <w:t>Limited data and comps</w:t>
      </w:r>
      <w:r w:rsidRPr="3F4756A7">
        <w:t xml:space="preserve">: </w:t>
      </w:r>
      <w:r w:rsidR="46ED4997" w:rsidRPr="3F4756A7">
        <w:t>Limited data and access to comps create significant uncertainty around potential operational savings</w:t>
      </w:r>
      <w:r w:rsidR="00314AF4">
        <w:t xml:space="preserve"> (when applicable)</w:t>
      </w:r>
      <w:r w:rsidR="46ED4997" w:rsidRPr="3F4756A7">
        <w:t xml:space="preserve"> from making investments.</w:t>
      </w:r>
    </w:p>
    <w:p w14:paraId="226B9C2F" w14:textId="463099A7" w:rsidR="4A1A8BF6" w:rsidRDefault="4A1A8BF6" w:rsidP="00BD1C31">
      <w:pPr>
        <w:pStyle w:val="Heading2"/>
      </w:pPr>
    </w:p>
    <w:p w14:paraId="13405F43" w14:textId="3A19D5AD" w:rsidR="00FA08C9" w:rsidRPr="003E2E8A" w:rsidRDefault="004F4FC7" w:rsidP="00FA08C9">
      <w:pPr>
        <w:pStyle w:val="Heading2"/>
        <w:rPr>
          <w:sz w:val="28"/>
          <w:szCs w:val="28"/>
        </w:rPr>
      </w:pPr>
      <w:r w:rsidRPr="00BD1C31">
        <w:rPr>
          <w:sz w:val="28"/>
          <w:szCs w:val="28"/>
        </w:rPr>
        <w:t xml:space="preserve">Recommendations for </w:t>
      </w:r>
      <w:r w:rsidR="00FA08C9">
        <w:rPr>
          <w:sz w:val="28"/>
          <w:szCs w:val="28"/>
        </w:rPr>
        <w:t>D</w:t>
      </w:r>
      <w:r w:rsidRPr="00BD1C31">
        <w:rPr>
          <w:sz w:val="28"/>
          <w:szCs w:val="28"/>
        </w:rPr>
        <w:t xml:space="preserve">eployment of </w:t>
      </w:r>
      <w:r w:rsidR="00F00880" w:rsidRPr="00BD1C31">
        <w:rPr>
          <w:sz w:val="28"/>
          <w:szCs w:val="28"/>
        </w:rPr>
        <w:t>GGRF</w:t>
      </w:r>
      <w:r w:rsidRPr="00BD1C31">
        <w:rPr>
          <w:sz w:val="28"/>
          <w:szCs w:val="28"/>
        </w:rPr>
        <w:t xml:space="preserve"> </w:t>
      </w:r>
      <w:r w:rsidR="00FA08C9">
        <w:rPr>
          <w:sz w:val="28"/>
          <w:szCs w:val="28"/>
        </w:rPr>
        <w:t>D</w:t>
      </w:r>
      <w:r w:rsidRPr="00BD1C31">
        <w:rPr>
          <w:sz w:val="28"/>
          <w:szCs w:val="28"/>
        </w:rPr>
        <w:t>ollars</w:t>
      </w:r>
    </w:p>
    <w:p w14:paraId="53F33EE8" w14:textId="4B21E67E" w:rsidR="00F01A01" w:rsidRPr="00903FBB" w:rsidRDefault="47656427" w:rsidP="003E2E8A">
      <w:r>
        <w:t>Be</w:t>
      </w:r>
      <w:r w:rsidR="00FA08C9">
        <w:t xml:space="preserve">low </w:t>
      </w:r>
      <w:r w:rsidR="3F49CC0C">
        <w:t>w</w:t>
      </w:r>
      <w:r>
        <w:t xml:space="preserve">e </w:t>
      </w:r>
      <w:r w:rsidR="3F49CC0C">
        <w:t xml:space="preserve">lay out </w:t>
      </w:r>
      <w:r>
        <w:t>a set of recommendations for greenhouse gas reduction in this sector, through</w:t>
      </w:r>
      <w:r w:rsidR="5A99CBA5">
        <w:t xml:space="preserve"> the</w:t>
      </w:r>
      <w:r>
        <w:t xml:space="preserve"> equitable deployment of </w:t>
      </w:r>
      <w:r w:rsidR="00F00880">
        <w:t>GGRF</w:t>
      </w:r>
      <w:r>
        <w:t xml:space="preserve"> dollars </w:t>
      </w:r>
      <w:r w:rsidR="14FB4082">
        <w:t xml:space="preserve">and with </w:t>
      </w:r>
      <w:r w:rsidR="19C2030A">
        <w:t>consideration</w:t>
      </w:r>
      <w:r w:rsidR="14FB4082">
        <w:t xml:space="preserve"> to the barriers outlined above</w:t>
      </w:r>
      <w:r>
        <w:t xml:space="preserve">. These recommendations are grounded in deep, hands-on expertise and were developed through relevant market participants and stakeholders who together explored the investment opportunity in this market sector, identified and discussed barriers to scaling this line of </w:t>
      </w:r>
      <w:r w:rsidR="4275FAB1">
        <w:t>work</w:t>
      </w:r>
      <w:r w:rsidR="00FA08C9">
        <w:t xml:space="preserve">, </w:t>
      </w:r>
      <w:r>
        <w:t xml:space="preserve">and considered potential solutions and funding priorities. Contributors considered how best to deploy </w:t>
      </w:r>
      <w:r w:rsidR="00F00880">
        <w:t>GGRF</w:t>
      </w:r>
      <w:r>
        <w:t xml:space="preserve"> funds into this space, with a focus on the highest priority strategies needed to turn on the spigot of creditworthy, impactful decarbonization projects in </w:t>
      </w:r>
      <w:r w:rsidR="6CEBBB40">
        <w:t xml:space="preserve">LI/DAC </w:t>
      </w:r>
      <w:r>
        <w:t>communities.</w:t>
      </w:r>
    </w:p>
    <w:p w14:paraId="2CCB5FA1" w14:textId="3738EBC6" w:rsidR="0064682A" w:rsidRPr="008D3C4D" w:rsidRDefault="48FF90B3" w:rsidP="4A1A8BF6">
      <w:pPr>
        <w:rPr>
          <w:b/>
          <w:bCs/>
          <w:i/>
          <w:iCs/>
        </w:rPr>
      </w:pPr>
      <w:r>
        <w:t xml:space="preserve">The </w:t>
      </w:r>
      <w:r w:rsidR="00F00880">
        <w:t>GGRF</w:t>
      </w:r>
      <w:r>
        <w:t xml:space="preserve"> represents a once-in-a-lifetime source of capital for mission lenders to integrate multifamily building decarbonization strategies into their operations and product offerings. </w:t>
      </w:r>
      <w:r w:rsidRPr="4A1A8BF6">
        <w:rPr>
          <w:b/>
          <w:bCs/>
          <w:i/>
          <w:iCs/>
        </w:rPr>
        <w:t>To maximize this opportunity, lenders should have a clear theory of change and deployment strategy</w:t>
      </w:r>
      <w:r w:rsidR="4D47D41B" w:rsidRPr="4A1A8BF6">
        <w:rPr>
          <w:b/>
          <w:bCs/>
          <w:i/>
          <w:iCs/>
        </w:rPr>
        <w:t xml:space="preserve"> that considers the entire delivery ecosystem</w:t>
      </w:r>
      <w:r w:rsidRPr="4A1A8BF6">
        <w:rPr>
          <w:b/>
          <w:bCs/>
          <w:i/>
          <w:iCs/>
        </w:rPr>
        <w:t>, informed by an understanding of the barriers listed above.</w:t>
      </w:r>
    </w:p>
    <w:p w14:paraId="377B4B3B" w14:textId="715C9357" w:rsidR="00195242" w:rsidRDefault="00195242" w:rsidP="1D7C1DBF"/>
    <w:p w14:paraId="701A3ACD" w14:textId="7DBE3FED" w:rsidR="004B1A4E" w:rsidRPr="00563D0F" w:rsidRDefault="2A9E17F2" w:rsidP="4A1A8BF6">
      <w:pPr>
        <w:pStyle w:val="ListParagraph"/>
        <w:numPr>
          <w:ilvl w:val="0"/>
          <w:numId w:val="29"/>
        </w:numPr>
        <w:rPr>
          <w:b/>
          <w:bCs/>
          <w:i/>
          <w:iCs/>
        </w:rPr>
      </w:pPr>
      <w:r w:rsidRPr="4A1A8BF6">
        <w:rPr>
          <w:b/>
          <w:bCs/>
          <w:i/>
          <w:iCs/>
        </w:rPr>
        <w:t>Technical assistance provision at both the lender</w:t>
      </w:r>
      <w:r w:rsidR="351690E2" w:rsidRPr="4A1A8BF6">
        <w:rPr>
          <w:b/>
          <w:bCs/>
          <w:i/>
          <w:iCs/>
        </w:rPr>
        <w:t xml:space="preserve">, community, and </w:t>
      </w:r>
      <w:r w:rsidR="3FA71288" w:rsidRPr="4A1A8BF6">
        <w:rPr>
          <w:b/>
          <w:bCs/>
          <w:i/>
          <w:iCs/>
        </w:rPr>
        <w:t xml:space="preserve">project </w:t>
      </w:r>
      <w:r w:rsidRPr="4A1A8BF6">
        <w:rPr>
          <w:b/>
          <w:bCs/>
          <w:i/>
          <w:iCs/>
        </w:rPr>
        <w:t xml:space="preserve">level will be critical in </w:t>
      </w:r>
      <w:r w:rsidR="3472FA34" w:rsidRPr="4A1A8BF6">
        <w:rPr>
          <w:b/>
          <w:bCs/>
          <w:i/>
          <w:iCs/>
        </w:rPr>
        <w:t xml:space="preserve">deploying </w:t>
      </w:r>
      <w:r w:rsidR="00F00880">
        <w:rPr>
          <w:b/>
          <w:bCs/>
          <w:i/>
          <w:iCs/>
        </w:rPr>
        <w:t>GGRF</w:t>
      </w:r>
      <w:r w:rsidR="3472FA34" w:rsidRPr="4A1A8BF6">
        <w:rPr>
          <w:b/>
          <w:bCs/>
          <w:i/>
          <w:iCs/>
        </w:rPr>
        <w:t xml:space="preserve"> into multifamily decarbonization.</w:t>
      </w:r>
    </w:p>
    <w:p w14:paraId="57EE84D4" w14:textId="6F79895C" w:rsidR="00FA08C9" w:rsidRDefault="00961E15" w:rsidP="00674E7F">
      <w:pPr>
        <w:pStyle w:val="ListParagraph"/>
        <w:numPr>
          <w:ilvl w:val="1"/>
          <w:numId w:val="29"/>
        </w:numPr>
      </w:pPr>
      <w:r>
        <w:t>Between housing finance agencies</w:t>
      </w:r>
      <w:r w:rsidR="00366C48">
        <w:t xml:space="preserve">, CDFIs, community banks, and </w:t>
      </w:r>
      <w:r>
        <w:t>other lenders</w:t>
      </w:r>
      <w:r w:rsidR="00366C48">
        <w:t xml:space="preserve">, </w:t>
      </w:r>
      <w:r>
        <w:t xml:space="preserve">there exists a vast affordable housing infrastructure that has yet to fully incorporate decarbonization into its daily work. </w:t>
      </w:r>
      <w:r w:rsidR="004B1A4E">
        <w:t>Pairing</w:t>
      </w:r>
      <w:r w:rsidR="004B1A4E" w:rsidRPr="0035100C">
        <w:t xml:space="preserve"> </w:t>
      </w:r>
      <w:r w:rsidR="004B1A4E">
        <w:t>technical assistance</w:t>
      </w:r>
      <w:r w:rsidR="004B1A4E" w:rsidRPr="0035100C">
        <w:t xml:space="preserve"> </w:t>
      </w:r>
      <w:r w:rsidR="004B1A4E" w:rsidRPr="0035100C">
        <w:lastRenderedPageBreak/>
        <w:t xml:space="preserve">providers with </w:t>
      </w:r>
      <w:r w:rsidR="004B1A4E">
        <w:t xml:space="preserve">lenders </w:t>
      </w:r>
      <w:r w:rsidR="004B1A4E" w:rsidRPr="0035100C">
        <w:t xml:space="preserve">using </w:t>
      </w:r>
      <w:r w:rsidR="00D00F5C">
        <w:t>business-as-usual</w:t>
      </w:r>
      <w:r w:rsidR="004B1A4E" w:rsidRPr="0035100C">
        <w:t xml:space="preserve"> approaches to financing and subsidy is unlikely to </w:t>
      </w:r>
      <w:r w:rsidR="00EC0775">
        <w:t>generate</w:t>
      </w:r>
      <w:r w:rsidR="004B1A4E" w:rsidRPr="0035100C">
        <w:t xml:space="preserve"> significant scaling </w:t>
      </w:r>
      <w:r w:rsidR="00EC0775">
        <w:t xml:space="preserve">of </w:t>
      </w:r>
      <w:r w:rsidR="004B1A4E">
        <w:t xml:space="preserve">these </w:t>
      </w:r>
      <w:r w:rsidR="004B1A4E" w:rsidRPr="0035100C">
        <w:t xml:space="preserve">projects. </w:t>
      </w:r>
      <w:r w:rsidR="004B1A4E">
        <w:t>Given electrification may not result in operating cost savings for</w:t>
      </w:r>
      <w:r w:rsidR="004B1A4E" w:rsidRPr="0035100C">
        <w:t xml:space="preserve"> owners, </w:t>
      </w:r>
      <w:r w:rsidR="004B1A4E">
        <w:t>technical assistance</w:t>
      </w:r>
      <w:r w:rsidR="004B1A4E" w:rsidRPr="0035100C">
        <w:t xml:space="preserve"> </w:t>
      </w:r>
      <w:r w:rsidR="004B1A4E">
        <w:t>should</w:t>
      </w:r>
      <w:r w:rsidR="004B1A4E" w:rsidRPr="0035100C">
        <w:t xml:space="preserve"> be comprehensive and fully paid for, and subsidies</w:t>
      </w:r>
      <w:r w:rsidR="004B1A4E">
        <w:t xml:space="preserve"> will likely </w:t>
      </w:r>
      <w:r w:rsidR="004B1A4E" w:rsidRPr="0035100C">
        <w:t xml:space="preserve">need to be high to </w:t>
      </w:r>
      <w:r w:rsidR="004B1A4E">
        <w:t xml:space="preserve">achieve </w:t>
      </w:r>
      <w:r w:rsidR="00EC0775">
        <w:t xml:space="preserve">implementation </w:t>
      </w:r>
      <w:r w:rsidR="004B1A4E">
        <w:t>succes</w:t>
      </w:r>
      <w:r w:rsidR="00EC0775">
        <w:t>s</w:t>
      </w:r>
      <w:r w:rsidR="004B1A4E" w:rsidRPr="0035100C">
        <w:t>.</w:t>
      </w:r>
    </w:p>
    <w:p w14:paraId="7B8611B9" w14:textId="77777777" w:rsidR="00674E7F" w:rsidRDefault="00674E7F" w:rsidP="009763C5">
      <w:pPr>
        <w:ind w:left="1080"/>
      </w:pPr>
    </w:p>
    <w:p w14:paraId="595AB798" w14:textId="25606136" w:rsidR="7C12F0ED" w:rsidRDefault="00961E15" w:rsidP="00161FD0">
      <w:pPr>
        <w:pStyle w:val="ListParagraph"/>
        <w:numPr>
          <w:ilvl w:val="1"/>
          <w:numId w:val="29"/>
        </w:numPr>
      </w:pPr>
      <w:r>
        <w:t>In addition, c</w:t>
      </w:r>
      <w:r w:rsidR="08E01DB6">
        <w:t xml:space="preserve">onvincing </w:t>
      </w:r>
      <w:r w:rsidR="00D00F5C">
        <w:t>communities,</w:t>
      </w:r>
      <w:r w:rsidR="00D70A2B">
        <w:t xml:space="preserve"> and project </w:t>
      </w:r>
      <w:r w:rsidR="08E01DB6">
        <w:t>owners to take the leap</w:t>
      </w:r>
      <w:r w:rsidR="05A5B5F7">
        <w:t xml:space="preserve"> into decarbonization</w:t>
      </w:r>
      <w:r>
        <w:t xml:space="preserve"> and</w:t>
      </w:r>
      <w:r w:rsidR="05A5B5F7">
        <w:t xml:space="preserve"> helping them through the process </w:t>
      </w:r>
      <w:r w:rsidR="1D36775D">
        <w:t>are a few of the ways technical assistance can fa</w:t>
      </w:r>
      <w:r w:rsidR="3E6836E6">
        <w:t xml:space="preserve">cilitate a healthy pipeline of projects. </w:t>
      </w:r>
      <w:r w:rsidR="00F00880">
        <w:t>GGRF</w:t>
      </w:r>
      <w:r w:rsidR="53BFC473">
        <w:t xml:space="preserve"> lenders should look to invest in and partner</w:t>
      </w:r>
      <w:r w:rsidR="08E01DB6">
        <w:t xml:space="preserve"> </w:t>
      </w:r>
      <w:r w:rsidR="3477788F">
        <w:t xml:space="preserve">with </w:t>
      </w:r>
      <w:r w:rsidR="08E01DB6">
        <w:t xml:space="preserve">organizations like </w:t>
      </w:r>
      <w:hyperlink r:id="rId37" w:history="1">
        <w:r w:rsidR="08E01DB6" w:rsidRPr="004F54CF">
          <w:rPr>
            <w:rStyle w:val="Hyperlink"/>
          </w:rPr>
          <w:t>Elevate Energy</w:t>
        </w:r>
      </w:hyperlink>
      <w:r w:rsidR="08E01DB6">
        <w:t xml:space="preserve">, </w:t>
      </w:r>
      <w:hyperlink r:id="rId38" w:history="1">
        <w:r w:rsidR="08E01DB6" w:rsidRPr="004343E8">
          <w:rPr>
            <w:rStyle w:val="Hyperlink"/>
          </w:rPr>
          <w:t>New Ecology</w:t>
        </w:r>
      </w:hyperlink>
      <w:r w:rsidR="08E01DB6">
        <w:t xml:space="preserve">, </w:t>
      </w:r>
      <w:hyperlink r:id="rId39" w:history="1">
        <w:proofErr w:type="spellStart"/>
        <w:r w:rsidR="6BF50260" w:rsidRPr="00F22ACC">
          <w:rPr>
            <w:rStyle w:val="Hyperlink"/>
          </w:rPr>
          <w:t>Southface</w:t>
        </w:r>
        <w:proofErr w:type="spellEnd"/>
      </w:hyperlink>
      <w:r w:rsidR="6BF50260">
        <w:t xml:space="preserve">, </w:t>
      </w:r>
      <w:r w:rsidR="08E01DB6">
        <w:t xml:space="preserve">and others in alliances like the </w:t>
      </w:r>
      <w:hyperlink r:id="rId40">
        <w:r w:rsidR="08E01DB6" w:rsidRPr="575FBCA5">
          <w:rPr>
            <w:rStyle w:val="Hyperlink"/>
          </w:rPr>
          <w:t>Relay Network</w:t>
        </w:r>
      </w:hyperlink>
      <w:r w:rsidR="08E01DB6">
        <w:t xml:space="preserve">, a network of mission-based energy </w:t>
      </w:r>
      <w:r w:rsidR="08E01DB6" w:rsidRPr="575FBCA5">
        <w:t>efficiency implementers in the multifamily space</w:t>
      </w:r>
      <w:r w:rsidR="628CF930" w:rsidRPr="575FBCA5">
        <w:t>.</w:t>
      </w:r>
      <w:r w:rsidR="168DCE7C" w:rsidRPr="575FBCA5">
        <w:t xml:space="preserve"> </w:t>
      </w:r>
      <w:r w:rsidR="009E2C6B" w:rsidRPr="575FBCA5">
        <w:t xml:space="preserve">Other potential models include </w:t>
      </w:r>
      <w:r w:rsidR="009E2C6B" w:rsidRPr="00161FD0">
        <w:rPr>
          <w:color w:val="000000" w:themeColor="text1"/>
        </w:rPr>
        <w:t xml:space="preserve">NYC Accelerator, Denver’s Building Electrification Incentive Program, and Boston’s planned Retrofit Resource Hub. </w:t>
      </w:r>
      <w:r w:rsidR="168DCE7C" w:rsidRPr="575FBCA5">
        <w:t>Org</w:t>
      </w:r>
      <w:r w:rsidR="168DCE7C">
        <w:t>anizations like these c</w:t>
      </w:r>
      <w:r w:rsidR="6997466E">
        <w:t xml:space="preserve">an </w:t>
      </w:r>
      <w:r w:rsidR="168DCE7C">
        <w:t xml:space="preserve">produce </w:t>
      </w:r>
      <w:r w:rsidR="617BAE53">
        <w:t xml:space="preserve">and execute </w:t>
      </w:r>
      <w:r w:rsidR="168DCE7C">
        <w:t>portfolio-wide decarbonization strategies.</w:t>
      </w:r>
    </w:p>
    <w:p w14:paraId="39AD1C00" w14:textId="64891B7A" w:rsidR="2821F8AF" w:rsidRDefault="2821F8AF" w:rsidP="2821F8AF"/>
    <w:p w14:paraId="0F023B2C" w14:textId="27239ADB" w:rsidR="00F67C51" w:rsidRPr="00752DE7" w:rsidRDefault="6C46613A" w:rsidP="3F4756A7">
      <w:pPr>
        <w:pStyle w:val="ListParagraph"/>
        <w:numPr>
          <w:ilvl w:val="0"/>
          <w:numId w:val="27"/>
        </w:numPr>
        <w:rPr>
          <w:b/>
          <w:bCs/>
          <w:i/>
          <w:iCs/>
        </w:rPr>
      </w:pPr>
      <w:r w:rsidRPr="00752DE7">
        <w:rPr>
          <w:b/>
          <w:bCs/>
          <w:i/>
          <w:iCs/>
        </w:rPr>
        <w:t xml:space="preserve">Lender Deployment </w:t>
      </w:r>
      <w:r w:rsidR="597E2899" w:rsidRPr="00752DE7">
        <w:rPr>
          <w:b/>
          <w:bCs/>
          <w:i/>
          <w:iCs/>
        </w:rPr>
        <w:t>Considerations</w:t>
      </w:r>
      <w:r w:rsidR="007F0446" w:rsidRPr="00752DE7">
        <w:rPr>
          <w:b/>
          <w:bCs/>
          <w:i/>
          <w:iCs/>
        </w:rPr>
        <w:t>:</w:t>
      </w:r>
    </w:p>
    <w:p w14:paraId="0CAC1533" w14:textId="2402F038" w:rsidR="1CBE6A5F" w:rsidRDefault="4B9C4891" w:rsidP="1D7C1DBF">
      <w:pPr>
        <w:pStyle w:val="ListParagraph"/>
        <w:numPr>
          <w:ilvl w:val="1"/>
          <w:numId w:val="27"/>
        </w:numPr>
      </w:pPr>
      <w:r w:rsidRPr="4A1A8BF6">
        <w:rPr>
          <w:u w:val="single"/>
        </w:rPr>
        <w:t xml:space="preserve">Understand your portfolio’s </w:t>
      </w:r>
      <w:r w:rsidR="4FE17301" w:rsidRPr="4A1A8BF6">
        <w:rPr>
          <w:u w:val="single"/>
        </w:rPr>
        <w:t xml:space="preserve">energy consumption and </w:t>
      </w:r>
      <w:r w:rsidRPr="4A1A8BF6">
        <w:rPr>
          <w:u w:val="single"/>
        </w:rPr>
        <w:t>GHG emissions</w:t>
      </w:r>
      <w:r>
        <w:t xml:space="preserve">: If they haven’t done so already, </w:t>
      </w:r>
      <w:r w:rsidR="5CABF866">
        <w:t>all L</w:t>
      </w:r>
      <w:r>
        <w:t>ender</w:t>
      </w:r>
      <w:r w:rsidR="5CABF866">
        <w:t>s</w:t>
      </w:r>
      <w:r>
        <w:t xml:space="preserve"> should </w:t>
      </w:r>
      <w:r w:rsidR="30E8CB53">
        <w:t xml:space="preserve">track energy consumption in their portfolio and </w:t>
      </w:r>
      <w:r>
        <w:t>establish a proven methodology for calculating and tracking their</w:t>
      </w:r>
      <w:r>
        <w:t xml:space="preserve"> portfolio’s </w:t>
      </w:r>
      <w:r w:rsidR="00D00F5C">
        <w:t xml:space="preserve"> </w:t>
      </w:r>
      <w:r>
        <w:t xml:space="preserve">greenhouse gas emissions. The </w:t>
      </w:r>
      <w:r w:rsidR="00F00880">
        <w:t>GGRF</w:t>
      </w:r>
      <w:r>
        <w:t xml:space="preserve"> program seeks to reduce GHG emissions, and in order to be competitive in securing </w:t>
      </w:r>
      <w:r w:rsidR="00F00880">
        <w:t>GGRF</w:t>
      </w:r>
      <w:r>
        <w:t xml:space="preserve"> capital, mission-based lenders will need to be able to measure baseline GHG emissions, as well as anticipated GHG reductions.</w:t>
      </w:r>
      <w:r w:rsidR="5F9BD665">
        <w:t xml:space="preserve"> The Lender will likely need to set minimum building performance standards related to GHG emissions and/or building energy performance (e.g. minimum 25% energy savings for existing buildings and higher for new construction) for </w:t>
      </w:r>
      <w:r w:rsidR="00F00880">
        <w:t>GGRF</w:t>
      </w:r>
      <w:r w:rsidR="5F9BD665">
        <w:t>-related investments.</w:t>
      </w:r>
    </w:p>
    <w:p w14:paraId="3F2E5C85" w14:textId="77777777" w:rsidR="00D00F5C" w:rsidRDefault="00D00F5C" w:rsidP="00792DA8">
      <w:pPr>
        <w:pStyle w:val="ListParagraph"/>
        <w:ind w:left="1440"/>
      </w:pPr>
    </w:p>
    <w:p w14:paraId="3651FBCE" w14:textId="6FFBEAC1" w:rsidR="003F70AB" w:rsidRPr="00792DA8" w:rsidRDefault="004352AE" w:rsidP="2C4A8E63">
      <w:pPr>
        <w:pStyle w:val="ListParagraph"/>
        <w:numPr>
          <w:ilvl w:val="1"/>
          <w:numId w:val="27"/>
        </w:numPr>
      </w:pPr>
      <w:r w:rsidRPr="2C4A8E63">
        <w:rPr>
          <w:rFonts w:eastAsia="Calibri"/>
          <w:u w:val="single"/>
        </w:rPr>
        <w:t xml:space="preserve">Carrots + Sticks </w:t>
      </w:r>
      <w:r w:rsidR="00F67C51" w:rsidRPr="2C4A8E63">
        <w:rPr>
          <w:rFonts w:eastAsia="Calibri"/>
          <w:u w:val="single"/>
        </w:rPr>
        <w:t>Analysis</w:t>
      </w:r>
      <w:r w:rsidRPr="2C4A8E63">
        <w:rPr>
          <w:rFonts w:eastAsia="Calibri"/>
        </w:rPr>
        <w:t xml:space="preserve">: </w:t>
      </w:r>
      <w:r w:rsidR="00AC2506" w:rsidRPr="2C4A8E63">
        <w:rPr>
          <w:rFonts w:eastAsia="Calibri"/>
        </w:rPr>
        <w:t xml:space="preserve">Lender </w:t>
      </w:r>
      <w:r w:rsidRPr="2C4A8E63">
        <w:rPr>
          <w:rFonts w:eastAsia="Calibri"/>
        </w:rPr>
        <w:t>could</w:t>
      </w:r>
      <w:r w:rsidR="00AC2506" w:rsidRPr="2C4A8E63">
        <w:rPr>
          <w:rFonts w:eastAsia="Calibri"/>
        </w:rPr>
        <w:t xml:space="preserve"> map </w:t>
      </w:r>
      <w:r w:rsidR="0064682A" w:rsidRPr="2C4A8E63">
        <w:rPr>
          <w:rFonts w:eastAsia="Calibri"/>
        </w:rPr>
        <w:t xml:space="preserve">their </w:t>
      </w:r>
      <w:r w:rsidR="00AC2506" w:rsidRPr="2C4A8E63">
        <w:rPr>
          <w:rFonts w:eastAsia="Calibri"/>
        </w:rPr>
        <w:t>multifamily lending activity against the states, municipalities</w:t>
      </w:r>
      <w:r w:rsidR="0064682A" w:rsidRPr="2C4A8E63">
        <w:rPr>
          <w:rFonts w:eastAsia="Calibri"/>
        </w:rPr>
        <w:t>,</w:t>
      </w:r>
      <w:r w:rsidR="00AC2506" w:rsidRPr="2C4A8E63">
        <w:rPr>
          <w:rFonts w:eastAsia="Calibri"/>
        </w:rPr>
        <w:t xml:space="preserve"> and utility service territories with policy drivers and incentives for building efficiency and electrification.</w:t>
      </w:r>
      <w:r w:rsidRPr="2C4A8E63">
        <w:rPr>
          <w:rFonts w:eastAsia="Calibri"/>
        </w:rPr>
        <w:t xml:space="preserve"> This could include areas with specific decarbonization commitments</w:t>
      </w:r>
      <w:r w:rsidR="006C5D11">
        <w:rPr>
          <w:rStyle w:val="FootnoteReference"/>
          <w:rFonts w:eastAsia="Calibri"/>
        </w:rPr>
        <w:footnoteReference w:id="20"/>
      </w:r>
      <w:r w:rsidRPr="2C4A8E63">
        <w:rPr>
          <w:rFonts w:eastAsia="Calibri"/>
        </w:rPr>
        <w:t xml:space="preserve"> and </w:t>
      </w:r>
      <w:r w:rsidR="00F67C51" w:rsidRPr="2C4A8E63">
        <w:rPr>
          <w:rFonts w:eastAsia="Calibri"/>
        </w:rPr>
        <w:t>another overlay that includes</w:t>
      </w:r>
      <w:r w:rsidRPr="2C4A8E63">
        <w:rPr>
          <w:rFonts w:eastAsia="Calibri"/>
        </w:rPr>
        <w:t xml:space="preserve"> jurisdictions with building performance mandates (see map included in the policy discussion section). </w:t>
      </w:r>
      <w:r w:rsidR="00F67C51" w:rsidRPr="2C4A8E63">
        <w:rPr>
          <w:rFonts w:eastAsia="Calibri"/>
        </w:rPr>
        <w:t xml:space="preserve">As discussed previously, sector-wide building decarbonization approaches are more likely to occur in areas with specific building performance standards in place. </w:t>
      </w:r>
      <w:r w:rsidRPr="2C4A8E63">
        <w:rPr>
          <w:rFonts w:eastAsia="Calibri"/>
        </w:rPr>
        <w:t>Additionally, having a thorough understanding of multifamily incentive programs at the state, local, and utility level could highlight key markets within a lender’s portfolio that are primed for multifamily decarbonization strategies.</w:t>
      </w:r>
    </w:p>
    <w:p w14:paraId="1AF88A04" w14:textId="77777777" w:rsidR="00D00F5C" w:rsidRPr="00903FBB" w:rsidRDefault="00D00F5C" w:rsidP="00792DA8"/>
    <w:p w14:paraId="1B1D4744" w14:textId="47915A77" w:rsidR="00D00F5C" w:rsidRDefault="00F67C51" w:rsidP="00D00F5C">
      <w:pPr>
        <w:pStyle w:val="ListParagraph"/>
        <w:numPr>
          <w:ilvl w:val="1"/>
          <w:numId w:val="27"/>
        </w:numPr>
      </w:pPr>
      <w:r w:rsidRPr="575FBCA5">
        <w:rPr>
          <w:rFonts w:eastAsia="Calibri"/>
          <w:u w:val="single"/>
        </w:rPr>
        <w:lastRenderedPageBreak/>
        <w:t>Technical Capacity</w:t>
      </w:r>
      <w:r w:rsidR="003F70AB" w:rsidRPr="575FBCA5">
        <w:rPr>
          <w:rFonts w:eastAsia="Calibri"/>
          <w:u w:val="single"/>
        </w:rPr>
        <w:t xml:space="preserve"> and</w:t>
      </w:r>
      <w:r w:rsidR="0041317D" w:rsidRPr="575FBCA5">
        <w:rPr>
          <w:rFonts w:eastAsia="Calibri"/>
          <w:u w:val="single"/>
        </w:rPr>
        <w:t xml:space="preserve"> Borrower Support</w:t>
      </w:r>
      <w:r w:rsidRPr="575FBCA5">
        <w:rPr>
          <w:rFonts w:eastAsia="Calibri"/>
        </w:rPr>
        <w:t xml:space="preserve">: </w:t>
      </w:r>
      <w:r w:rsidR="00AC2506" w:rsidRPr="575FBCA5">
        <w:rPr>
          <w:rFonts w:eastAsia="Calibri"/>
        </w:rPr>
        <w:t xml:space="preserve">Lender should partner with </w:t>
      </w:r>
      <w:r w:rsidR="00945E63" w:rsidRPr="575FBCA5">
        <w:rPr>
          <w:rFonts w:eastAsia="Calibri"/>
        </w:rPr>
        <w:t xml:space="preserve">mission-based </w:t>
      </w:r>
      <w:r w:rsidR="68307DBB" w:rsidRPr="575FBCA5">
        <w:rPr>
          <w:rFonts w:eastAsia="Calibri"/>
        </w:rPr>
        <w:t xml:space="preserve">building science technical assistance providers (e.g. Elevate Energy; New Ecology; </w:t>
      </w:r>
      <w:proofErr w:type="spellStart"/>
      <w:r w:rsidR="5AC5DFD5" w:rsidRPr="575FBCA5">
        <w:rPr>
          <w:rFonts w:eastAsia="Calibri"/>
        </w:rPr>
        <w:t>Southface</w:t>
      </w:r>
      <w:proofErr w:type="spellEnd"/>
      <w:r w:rsidR="5AC5DFD5" w:rsidRPr="575FBCA5">
        <w:rPr>
          <w:rFonts w:eastAsia="Calibri"/>
        </w:rPr>
        <w:t xml:space="preserve">; </w:t>
      </w:r>
      <w:r w:rsidR="68307DBB" w:rsidRPr="575FBCA5">
        <w:rPr>
          <w:rFonts w:eastAsia="Calibri"/>
        </w:rPr>
        <w:t>etc.)</w:t>
      </w:r>
      <w:r w:rsidR="00AC2506" w:rsidRPr="575FBCA5">
        <w:rPr>
          <w:rFonts w:eastAsia="Calibri"/>
        </w:rPr>
        <w:t xml:space="preserve"> to establish an internal process to identify opportunities to help borrowers improve efficiency of buildings and consider electrification, and to comply with any upcoming regulation, starting at initial customer contact. </w:t>
      </w:r>
      <w:r w:rsidRPr="575FBCA5">
        <w:rPr>
          <w:rFonts w:eastAsia="Calibri"/>
        </w:rPr>
        <w:t xml:space="preserve">In some markets – </w:t>
      </w:r>
      <w:r w:rsidR="00EA3480" w:rsidRPr="575FBCA5">
        <w:rPr>
          <w:rFonts w:eastAsia="Calibri"/>
        </w:rPr>
        <w:t xml:space="preserve">including </w:t>
      </w:r>
      <w:r w:rsidR="7A979234" w:rsidRPr="575FBCA5">
        <w:rPr>
          <w:rFonts w:eastAsia="Calibri"/>
        </w:rPr>
        <w:t>New York City</w:t>
      </w:r>
      <w:r w:rsidR="69BF1725" w:rsidRPr="575FBCA5">
        <w:rPr>
          <w:rFonts w:eastAsia="Calibri"/>
        </w:rPr>
        <w:t>,</w:t>
      </w:r>
      <w:r w:rsidRPr="575FBCA5">
        <w:rPr>
          <w:rFonts w:eastAsia="Calibri"/>
        </w:rPr>
        <w:t xml:space="preserve"> Boston,</w:t>
      </w:r>
      <w:r w:rsidR="470C11D6" w:rsidRPr="575FBCA5">
        <w:rPr>
          <w:rFonts w:eastAsia="Calibri"/>
        </w:rPr>
        <w:t xml:space="preserve"> Chicago,</w:t>
      </w:r>
      <w:r w:rsidRPr="575FBCA5">
        <w:rPr>
          <w:rFonts w:eastAsia="Calibri"/>
        </w:rPr>
        <w:t xml:space="preserve"> </w:t>
      </w:r>
      <w:r w:rsidR="0D738608" w:rsidRPr="575FBCA5">
        <w:rPr>
          <w:rFonts w:eastAsia="Calibri"/>
        </w:rPr>
        <w:t xml:space="preserve">and </w:t>
      </w:r>
      <w:r w:rsidRPr="575FBCA5">
        <w:rPr>
          <w:rFonts w:eastAsia="Calibri"/>
        </w:rPr>
        <w:t>Washington DC</w:t>
      </w:r>
      <w:r w:rsidR="003F70AB" w:rsidRPr="575FBCA5">
        <w:rPr>
          <w:rFonts w:eastAsia="Calibri"/>
        </w:rPr>
        <w:t xml:space="preserve"> </w:t>
      </w:r>
      <w:r w:rsidRPr="575FBCA5">
        <w:rPr>
          <w:rFonts w:eastAsia="Calibri"/>
        </w:rPr>
        <w:t>– there are “energy efficiency resource hubs” or “accelerators” to help borrowers obtain the help they need to move forward with projects – lenders can connect with these “hubs” and seek project referrals</w:t>
      </w:r>
      <w:r w:rsidR="003F70AB">
        <w:t>.</w:t>
      </w:r>
    </w:p>
    <w:p w14:paraId="06F5B494" w14:textId="68C58429" w:rsidR="00D00F5C" w:rsidRPr="00903FBB" w:rsidRDefault="00D00F5C" w:rsidP="00792DA8">
      <w:pPr>
        <w:pStyle w:val="ListParagraph"/>
        <w:ind w:left="1440"/>
      </w:pPr>
    </w:p>
    <w:p w14:paraId="47A5CDFD" w14:textId="5E4988D7" w:rsidR="00AC2506" w:rsidRPr="00903FBB" w:rsidRDefault="0041317D" w:rsidP="1D7C1DBF">
      <w:pPr>
        <w:pStyle w:val="ListParagraph"/>
        <w:numPr>
          <w:ilvl w:val="1"/>
          <w:numId w:val="22"/>
        </w:numPr>
        <w:spacing w:line="259" w:lineRule="auto"/>
        <w:rPr>
          <w:rFonts w:eastAsia="Calibri"/>
        </w:rPr>
      </w:pPr>
      <w:r w:rsidRPr="1D7C1DBF">
        <w:rPr>
          <w:rFonts w:eastAsia="Calibri"/>
          <w:u w:val="single"/>
        </w:rPr>
        <w:t>General Financing Strategy</w:t>
      </w:r>
      <w:r w:rsidRPr="1D7C1DBF">
        <w:rPr>
          <w:rFonts w:eastAsia="Calibri"/>
        </w:rPr>
        <w:t xml:space="preserve">: </w:t>
      </w:r>
      <w:r w:rsidR="00AC2506" w:rsidRPr="1D7C1DBF">
        <w:rPr>
          <w:rFonts w:eastAsia="Calibri"/>
        </w:rPr>
        <w:t xml:space="preserve">Lender should offer </w:t>
      </w:r>
      <w:r w:rsidR="00F00880">
        <w:rPr>
          <w:rFonts w:eastAsia="Calibri"/>
        </w:rPr>
        <w:t>GGRF</w:t>
      </w:r>
      <w:r w:rsidR="00F87DF2" w:rsidRPr="1D7C1DBF">
        <w:rPr>
          <w:rFonts w:eastAsia="Calibri"/>
        </w:rPr>
        <w:t xml:space="preserve">-associated loans </w:t>
      </w:r>
      <w:r w:rsidR="00AC2506" w:rsidRPr="1D7C1DBF">
        <w:rPr>
          <w:rFonts w:eastAsia="Calibri"/>
        </w:rPr>
        <w:t>(combined with other capital sources</w:t>
      </w:r>
      <w:r w:rsidR="320EC78E" w:rsidRPr="1D7C1DBF">
        <w:rPr>
          <w:rFonts w:eastAsia="Calibri"/>
        </w:rPr>
        <w:t>)</w:t>
      </w:r>
      <w:r w:rsidR="00AC2506" w:rsidRPr="1D7C1DBF">
        <w:rPr>
          <w:rFonts w:eastAsia="Calibri"/>
        </w:rPr>
        <w:t xml:space="preserve"> to incentivize borrowers to invest in </w:t>
      </w:r>
      <w:r w:rsidR="00F87DF2" w:rsidRPr="1D7C1DBF">
        <w:rPr>
          <w:rFonts w:eastAsia="Calibri"/>
        </w:rPr>
        <w:t>building electrification and energy efficiency</w:t>
      </w:r>
      <w:r w:rsidR="00AF42CB" w:rsidRPr="1D7C1DBF">
        <w:rPr>
          <w:rFonts w:eastAsia="Calibri"/>
        </w:rPr>
        <w:t xml:space="preserve"> improvements</w:t>
      </w:r>
      <w:r w:rsidR="00F87DF2" w:rsidRPr="1D7C1DBF">
        <w:rPr>
          <w:rFonts w:eastAsia="Calibri"/>
        </w:rPr>
        <w:t xml:space="preserve"> </w:t>
      </w:r>
      <w:r w:rsidR="00AC2506" w:rsidRPr="1D7C1DBF">
        <w:rPr>
          <w:rFonts w:eastAsia="Calibri"/>
        </w:rPr>
        <w:t>using a toolkit including</w:t>
      </w:r>
      <w:r w:rsidR="00AF42CB" w:rsidRPr="1D7C1DBF">
        <w:rPr>
          <w:rFonts w:eastAsia="Calibri"/>
        </w:rPr>
        <w:t>:</w:t>
      </w:r>
    </w:p>
    <w:p w14:paraId="3EDC2D8A" w14:textId="060155E0" w:rsidR="00AC2506" w:rsidRPr="00903FBB" w:rsidRDefault="48408C3C" w:rsidP="4A1A8BF6">
      <w:pPr>
        <w:pStyle w:val="ListParagraph"/>
        <w:numPr>
          <w:ilvl w:val="2"/>
          <w:numId w:val="22"/>
        </w:numPr>
        <w:spacing w:line="259" w:lineRule="auto"/>
        <w:rPr>
          <w:rFonts w:eastAsia="Calibri"/>
        </w:rPr>
      </w:pPr>
      <w:r w:rsidRPr="4A1A8BF6">
        <w:rPr>
          <w:rFonts w:eastAsia="Calibri"/>
        </w:rPr>
        <w:t>F</w:t>
      </w:r>
      <w:r w:rsidR="26077C25" w:rsidRPr="4A1A8BF6">
        <w:rPr>
          <w:rFonts w:eastAsia="Calibri"/>
        </w:rPr>
        <w:t xml:space="preserve">ree technical assistance </w:t>
      </w:r>
      <w:r w:rsidRPr="4A1A8BF6">
        <w:rPr>
          <w:rFonts w:eastAsia="Calibri"/>
        </w:rPr>
        <w:t>from vetted and certified third parties</w:t>
      </w:r>
      <w:r w:rsidR="10ACB7C5" w:rsidRPr="4A1A8BF6">
        <w:rPr>
          <w:rFonts w:eastAsia="Calibri"/>
        </w:rPr>
        <w:t>.</w:t>
      </w:r>
    </w:p>
    <w:p w14:paraId="1FCBDDAD" w14:textId="73DE0EB9" w:rsidR="00AC2506" w:rsidRPr="00903FBB" w:rsidRDefault="48408C3C" w:rsidP="1D7C1DBF">
      <w:pPr>
        <w:pStyle w:val="ListParagraph"/>
        <w:numPr>
          <w:ilvl w:val="2"/>
          <w:numId w:val="22"/>
        </w:numPr>
        <w:spacing w:line="259" w:lineRule="auto"/>
        <w:rPr>
          <w:rFonts w:eastAsia="Calibri"/>
        </w:rPr>
      </w:pPr>
      <w:r w:rsidRPr="4A1A8BF6">
        <w:rPr>
          <w:rFonts w:eastAsia="Calibri"/>
        </w:rPr>
        <w:t>R</w:t>
      </w:r>
      <w:r w:rsidR="26077C25" w:rsidRPr="4A1A8BF6">
        <w:rPr>
          <w:rFonts w:eastAsia="Calibri"/>
        </w:rPr>
        <w:t xml:space="preserve">educed interest </w:t>
      </w:r>
      <w:r w:rsidRPr="4A1A8BF6">
        <w:rPr>
          <w:rFonts w:eastAsia="Calibri"/>
        </w:rPr>
        <w:t xml:space="preserve">and other concessionary-termed </w:t>
      </w:r>
      <w:r w:rsidR="26077C25" w:rsidRPr="4A1A8BF6">
        <w:rPr>
          <w:rFonts w:eastAsia="Calibri"/>
        </w:rPr>
        <w:t>loans</w:t>
      </w:r>
      <w:r w:rsidR="79C14EB2" w:rsidRPr="4A1A8BF6">
        <w:rPr>
          <w:rFonts w:eastAsia="Calibri"/>
        </w:rPr>
        <w:t xml:space="preserve"> (via credit enhancement or loan loss reserves)</w:t>
      </w:r>
      <w:r w:rsidRPr="4A1A8BF6">
        <w:rPr>
          <w:rFonts w:eastAsia="Calibri"/>
        </w:rPr>
        <w:t>, potentially on a sliding scale</w:t>
      </w:r>
      <w:r w:rsidR="26077C25" w:rsidRPr="4A1A8BF6">
        <w:rPr>
          <w:rFonts w:eastAsia="Calibri"/>
        </w:rPr>
        <w:t xml:space="preserve"> based on</w:t>
      </w:r>
      <w:r w:rsidRPr="4A1A8BF6">
        <w:rPr>
          <w:rFonts w:eastAsia="Calibri"/>
        </w:rPr>
        <w:t xml:space="preserve"> deeper GHG emission and resident co-benefits impact</w:t>
      </w:r>
      <w:r w:rsidR="1C5BE579" w:rsidRPr="4A1A8BF6">
        <w:rPr>
          <w:rFonts w:eastAsia="Calibri"/>
        </w:rPr>
        <w:t xml:space="preserve">. </w:t>
      </w:r>
      <w:r w:rsidR="00F00880">
        <w:rPr>
          <w:rFonts w:eastAsia="Calibri"/>
        </w:rPr>
        <w:t>GGRF</w:t>
      </w:r>
      <w:r w:rsidR="1C5BE579" w:rsidRPr="4A1A8BF6">
        <w:rPr>
          <w:rFonts w:eastAsia="Calibri"/>
        </w:rPr>
        <w:t xml:space="preserve"> grant funds should </w:t>
      </w:r>
      <w:r w:rsidR="7D47347C" w:rsidRPr="4A1A8BF6">
        <w:rPr>
          <w:rFonts w:eastAsia="Calibri"/>
        </w:rPr>
        <w:t xml:space="preserve">be blended into loan products and the lender will likely need to be able to demonstrate why grant funds are needed (e.g. grant funds cover additional costs associated with decarbonization that go above and beyond current building code; grant funds reduced </w:t>
      </w:r>
      <w:r w:rsidR="167CCF37" w:rsidRPr="4A1A8BF6">
        <w:rPr>
          <w:rFonts w:eastAsia="Calibri"/>
        </w:rPr>
        <w:t>overall interest rate to allow for deeper decarbonization to occur).</w:t>
      </w:r>
    </w:p>
    <w:p w14:paraId="6B0407D1" w14:textId="2168EB24" w:rsidR="00AC2506" w:rsidRDefault="48408C3C" w:rsidP="1D7C1DBF">
      <w:pPr>
        <w:pStyle w:val="ListParagraph"/>
        <w:numPr>
          <w:ilvl w:val="2"/>
          <w:numId w:val="22"/>
        </w:numPr>
        <w:spacing w:line="259" w:lineRule="auto"/>
        <w:rPr>
          <w:rFonts w:eastAsia="Calibri"/>
        </w:rPr>
      </w:pPr>
      <w:r w:rsidRPr="4A1A8BF6">
        <w:rPr>
          <w:rFonts w:eastAsia="Calibri"/>
        </w:rPr>
        <w:t>S</w:t>
      </w:r>
      <w:r w:rsidR="26077C25" w:rsidRPr="4A1A8BF6">
        <w:rPr>
          <w:rFonts w:eastAsia="Calibri"/>
        </w:rPr>
        <w:t>oft loans or grants at the project level based on high-impact, qualifying projects that can’t pencil and for which such a grant is instrumental for a borrower to move forward</w:t>
      </w:r>
      <w:r w:rsidR="10ACB7C5" w:rsidRPr="4A1A8BF6">
        <w:rPr>
          <w:rFonts w:eastAsia="Calibri"/>
        </w:rPr>
        <w:t>.</w:t>
      </w:r>
    </w:p>
    <w:p w14:paraId="368BE192" w14:textId="77777777" w:rsidR="00B07E50" w:rsidRPr="00903FBB" w:rsidRDefault="00B07E50" w:rsidP="00792DA8">
      <w:pPr>
        <w:pStyle w:val="ListParagraph"/>
        <w:spacing w:line="259" w:lineRule="auto"/>
        <w:ind w:left="2160"/>
        <w:rPr>
          <w:rFonts w:eastAsia="Calibri"/>
        </w:rPr>
      </w:pPr>
    </w:p>
    <w:p w14:paraId="14ACD231" w14:textId="0CA7DD0E" w:rsidR="00AC2506" w:rsidRPr="00903FBB" w:rsidRDefault="00AF42CB" w:rsidP="00AC2506">
      <w:pPr>
        <w:pStyle w:val="ListParagraph"/>
        <w:numPr>
          <w:ilvl w:val="1"/>
          <w:numId w:val="22"/>
        </w:numPr>
        <w:spacing w:line="259" w:lineRule="auto"/>
        <w:rPr>
          <w:rFonts w:eastAsia="Calibri" w:cstheme="minorHAnsi"/>
        </w:rPr>
      </w:pPr>
      <w:r w:rsidRPr="00903FBB">
        <w:rPr>
          <w:rFonts w:eastAsia="Calibri" w:cstheme="minorHAnsi"/>
          <w:u w:val="single"/>
        </w:rPr>
        <w:t>Ongoing Approach</w:t>
      </w:r>
      <w:r w:rsidRPr="00903FBB">
        <w:rPr>
          <w:rFonts w:eastAsia="Calibri" w:cstheme="minorHAnsi"/>
        </w:rPr>
        <w:t xml:space="preserve">: </w:t>
      </w:r>
      <w:r w:rsidR="00AC2506" w:rsidRPr="00903FBB">
        <w:rPr>
          <w:rFonts w:eastAsia="Calibri" w:cstheme="minorHAnsi"/>
        </w:rPr>
        <w:t xml:space="preserve">Lender should regularly review its portfolio to better understand the impact of </w:t>
      </w:r>
      <w:r w:rsidR="00F00880">
        <w:rPr>
          <w:rFonts w:eastAsia="Calibri" w:cstheme="minorHAnsi"/>
        </w:rPr>
        <w:t>GGRF</w:t>
      </w:r>
      <w:r w:rsidR="00AC2506" w:rsidRPr="00903FBB">
        <w:rPr>
          <w:rFonts w:eastAsia="Calibri" w:cstheme="minorHAnsi"/>
        </w:rPr>
        <w:t xml:space="preserve"> participation on reducing GHG emissions from portfolio properties and target future opportunities for investment in GHG reducing technologies and measures</w:t>
      </w:r>
      <w:r w:rsidR="00B07E50">
        <w:rPr>
          <w:rFonts w:eastAsia="Calibri" w:cstheme="minorHAnsi"/>
        </w:rPr>
        <w:t>.</w:t>
      </w:r>
    </w:p>
    <w:p w14:paraId="56DA378A" w14:textId="77777777" w:rsidR="00195242" w:rsidRPr="00903FBB" w:rsidRDefault="00195242" w:rsidP="00F01A01">
      <w:pPr>
        <w:rPr>
          <w:rFonts w:cstheme="minorHAnsi"/>
        </w:rPr>
      </w:pPr>
    </w:p>
    <w:p w14:paraId="58C958E4" w14:textId="4796817B" w:rsidR="00715F39" w:rsidRDefault="6903A1E4" w:rsidP="3F4756A7">
      <w:pPr>
        <w:pStyle w:val="ListParagraph"/>
        <w:numPr>
          <w:ilvl w:val="0"/>
          <w:numId w:val="28"/>
        </w:numPr>
      </w:pPr>
      <w:r>
        <w:t>In many cases, mission lenders do not necessarily need to create new products, rather th</w:t>
      </w:r>
      <w:r w:rsidR="06578456">
        <w:t xml:space="preserve">ey can modify </w:t>
      </w:r>
      <w:r>
        <w:t xml:space="preserve">existing loan products to </w:t>
      </w:r>
      <w:r w:rsidR="3E7EF20C">
        <w:t xml:space="preserve">accommodate and incentivize </w:t>
      </w:r>
      <w:r>
        <w:t xml:space="preserve">GHG-reducing investments. However, this </w:t>
      </w:r>
      <w:r w:rsidRPr="4A1A8BF6">
        <w:rPr>
          <w:u w:val="single"/>
        </w:rPr>
        <w:t>does not</w:t>
      </w:r>
      <w:r>
        <w:t xml:space="preserve"> mean that mission lenders </w:t>
      </w:r>
      <w:r w:rsidR="48184113">
        <w:t xml:space="preserve">can forgo making </w:t>
      </w:r>
      <w:r>
        <w:t xml:space="preserve">meaningful changes in how they operate. </w:t>
      </w:r>
      <w:r w:rsidRPr="4A1A8BF6">
        <w:rPr>
          <w:b/>
          <w:bCs/>
          <w:i/>
          <w:iCs/>
        </w:rPr>
        <w:t xml:space="preserve">Intentional investments in </w:t>
      </w:r>
      <w:r w:rsidR="56BA1319" w:rsidRPr="4A1A8BF6">
        <w:rPr>
          <w:b/>
          <w:bCs/>
          <w:i/>
          <w:iCs/>
        </w:rPr>
        <w:t xml:space="preserve">modifying underwriting criteria, </w:t>
      </w:r>
      <w:r w:rsidRPr="4A1A8BF6">
        <w:rPr>
          <w:b/>
          <w:bCs/>
          <w:i/>
          <w:iCs/>
        </w:rPr>
        <w:t xml:space="preserve">tracking </w:t>
      </w:r>
      <w:r w:rsidR="1FD38C41" w:rsidRPr="4A1A8BF6">
        <w:rPr>
          <w:b/>
          <w:bCs/>
          <w:i/>
          <w:iCs/>
        </w:rPr>
        <w:t>energy us</w:t>
      </w:r>
      <w:r w:rsidR="752E648E" w:rsidRPr="4A1A8BF6">
        <w:rPr>
          <w:b/>
          <w:bCs/>
          <w:i/>
          <w:iCs/>
        </w:rPr>
        <w:t>e</w:t>
      </w:r>
      <w:r w:rsidR="1FD38C41" w:rsidRPr="4A1A8BF6">
        <w:rPr>
          <w:b/>
          <w:bCs/>
          <w:i/>
          <w:iCs/>
        </w:rPr>
        <w:t xml:space="preserve"> and </w:t>
      </w:r>
      <w:r w:rsidRPr="4A1A8BF6">
        <w:rPr>
          <w:b/>
          <w:bCs/>
          <w:i/>
          <w:iCs/>
        </w:rPr>
        <w:t xml:space="preserve">GHG emission reductions and reporting, growing in-house underwriting and technical expertise in energy efficiency, electrification, </w:t>
      </w:r>
      <w:r w:rsidR="223B27BC" w:rsidRPr="4A1A8BF6">
        <w:rPr>
          <w:b/>
          <w:bCs/>
          <w:i/>
          <w:iCs/>
        </w:rPr>
        <w:t xml:space="preserve">and </w:t>
      </w:r>
      <w:r w:rsidRPr="4A1A8BF6">
        <w:rPr>
          <w:b/>
          <w:bCs/>
          <w:i/>
          <w:iCs/>
        </w:rPr>
        <w:t>solar, among other operational investments, will be critical.</w:t>
      </w:r>
    </w:p>
    <w:p w14:paraId="468F711F" w14:textId="77777777" w:rsidR="009D6615" w:rsidRDefault="009D6615" w:rsidP="00161FD0">
      <w:pPr>
        <w:pStyle w:val="ListParagraph"/>
      </w:pPr>
    </w:p>
    <w:p w14:paraId="75AD06FD" w14:textId="5B76DED4" w:rsidR="009D6615" w:rsidRPr="00903FBB" w:rsidRDefault="1BFDF3C7" w:rsidP="3F4756A7">
      <w:pPr>
        <w:pStyle w:val="ListParagraph"/>
        <w:numPr>
          <w:ilvl w:val="0"/>
          <w:numId w:val="28"/>
        </w:numPr>
      </w:pPr>
      <w:r>
        <w:lastRenderedPageBreak/>
        <w:t>Decarbonization financing approache</w:t>
      </w:r>
      <w:r w:rsidR="323ABF27">
        <w:t>s and engagement with owners</w:t>
      </w:r>
      <w:r>
        <w:t xml:space="preserve"> </w:t>
      </w:r>
      <w:r w:rsidR="323ABF27">
        <w:t>of</w:t>
      </w:r>
      <w:r>
        <w:t xml:space="preserve"> more regulated affordable housing stock like LIHTC and HUD-assisted properties will likely differ from NOAH approaches. However, the technical work of </w:t>
      </w:r>
      <w:r w:rsidR="323ABF27">
        <w:t xml:space="preserve">building </w:t>
      </w:r>
      <w:r>
        <w:t xml:space="preserve">electrification and energy efficiency improvements while sophisticated and distributed, is scalable. </w:t>
      </w:r>
    </w:p>
    <w:p w14:paraId="7B428DE2" w14:textId="77777777" w:rsidR="00715F39" w:rsidRPr="00903FBB" w:rsidRDefault="00715F39" w:rsidP="00715F39">
      <w:pPr>
        <w:rPr>
          <w:rFonts w:cstheme="minorHAnsi"/>
        </w:rPr>
      </w:pPr>
    </w:p>
    <w:p w14:paraId="78C45697" w14:textId="0DF26AA6" w:rsidR="00AC2506" w:rsidRDefault="4BD5AF6E" w:rsidP="2821F8AF">
      <w:pPr>
        <w:pStyle w:val="ListParagraph"/>
        <w:numPr>
          <w:ilvl w:val="0"/>
          <w:numId w:val="28"/>
        </w:numPr>
      </w:pPr>
      <w:r w:rsidRPr="00792DA8">
        <w:rPr>
          <w:b/>
          <w:bCs/>
          <w:i/>
          <w:iCs/>
        </w:rPr>
        <w:t>Rehab for Existing Buildings</w:t>
      </w:r>
      <w:r w:rsidR="007F0446" w:rsidRPr="00792DA8">
        <w:rPr>
          <w:b/>
          <w:bCs/>
          <w:i/>
          <w:iCs/>
        </w:rPr>
        <w:t>:</w:t>
      </w:r>
      <w:r w:rsidR="2452B328">
        <w:t xml:space="preserve"> </w:t>
      </w:r>
      <w:r w:rsidR="00F00880">
        <w:t>GGRF</w:t>
      </w:r>
      <w:r w:rsidR="2452B328">
        <w:t xml:space="preserve"> capital has the potential to address many of the significant hurdles currently faced in decarbonizing </w:t>
      </w:r>
      <w:r w:rsidR="5EF3B704">
        <w:t xml:space="preserve">the </w:t>
      </w:r>
      <w:r w:rsidR="2452B328">
        <w:t>existing multifamily building stock</w:t>
      </w:r>
      <w:r w:rsidR="5EF3B704">
        <w:t xml:space="preserve"> </w:t>
      </w:r>
      <w:r w:rsidR="0C21C19D" w:rsidRPr="4A1A8BF6">
        <w:t>—</w:t>
      </w:r>
      <w:r w:rsidR="5EF3B704">
        <w:t xml:space="preserve"> a sector that is harder to decarbonize than new construction, and one that represents a large percentage of the GHG emissions we need to reduce to </w:t>
      </w:r>
      <w:r w:rsidR="5784AA81">
        <w:t>achieve</w:t>
      </w:r>
      <w:r w:rsidR="5EF3B704">
        <w:t xml:space="preserve"> our climate goals</w:t>
      </w:r>
      <w:r w:rsidR="2452B328">
        <w:t>.</w:t>
      </w:r>
      <w:r w:rsidR="491B2D33">
        <w:t xml:space="preserve"> More subsidy is need</w:t>
      </w:r>
      <w:r w:rsidR="433AE507">
        <w:t>ed</w:t>
      </w:r>
      <w:r w:rsidR="491B2D33">
        <w:t xml:space="preserve"> in this space compared to new construction</w:t>
      </w:r>
      <w:r w:rsidR="5F9BD665">
        <w:t xml:space="preserve"> to achieve meaningful GHG emission reductions</w:t>
      </w:r>
      <w:r w:rsidR="5AAE1843">
        <w:t>, as well as potential health and safety benefits</w:t>
      </w:r>
      <w:r w:rsidR="491B2D33">
        <w:t>.</w:t>
      </w:r>
    </w:p>
    <w:p w14:paraId="6CB9A9F3" w14:textId="77777777" w:rsidR="00B07E50" w:rsidRPr="00903FBB" w:rsidRDefault="00B07E50" w:rsidP="00792DA8"/>
    <w:p w14:paraId="443F2B17" w14:textId="251908E0" w:rsidR="00715F39" w:rsidRPr="00903FBB" w:rsidRDefault="26077C25" w:rsidP="4A1A8BF6">
      <w:pPr>
        <w:pStyle w:val="ListParagraph"/>
        <w:numPr>
          <w:ilvl w:val="1"/>
          <w:numId w:val="25"/>
        </w:numPr>
      </w:pPr>
      <w:r w:rsidRPr="00792DA8">
        <w:rPr>
          <w:u w:val="single"/>
        </w:rPr>
        <w:t>Pre</w:t>
      </w:r>
      <w:r w:rsidRPr="002C0C9D">
        <w:rPr>
          <w:u w:val="single"/>
        </w:rPr>
        <w:t>d</w:t>
      </w:r>
      <w:r w:rsidRPr="002C0C9D">
        <w:rPr>
          <w:u w:val="single"/>
        </w:rPr>
        <w:t>evelopment</w:t>
      </w:r>
      <w:r w:rsidR="0085661C" w:rsidRPr="002C0C9D">
        <w:rPr>
          <w:u w:val="single"/>
        </w:rPr>
        <w:t>:</w:t>
      </w:r>
      <w:r w:rsidR="64F1E8F7" w:rsidRPr="4A1A8BF6">
        <w:t xml:space="preserve"> low-interest loans, 0</w:t>
      </w:r>
      <w:r w:rsidR="00B07E50">
        <w:t xml:space="preserve"> percent</w:t>
      </w:r>
      <w:r w:rsidR="64F1E8F7" w:rsidRPr="4A1A8BF6">
        <w:t xml:space="preserve"> recoverable grants, or grants to fund Integrated Physical Needs Assessments (IPNAs) that combine both property assessment with energy and water efficiency audits; solar modeling</w:t>
      </w:r>
      <w:r w:rsidR="32AA962E" w:rsidRPr="4A1A8BF6">
        <w:t>;</w:t>
      </w:r>
      <w:r w:rsidR="64F1E8F7" w:rsidRPr="4A1A8BF6">
        <w:t xml:space="preserve"> and other feasibility </w:t>
      </w:r>
      <w:r w:rsidR="32AA962E" w:rsidRPr="4A1A8BF6">
        <w:t>studies that provide a detailed roadmap for building decarbonization.</w:t>
      </w:r>
    </w:p>
    <w:p w14:paraId="67BC2B9D" w14:textId="0E70822F" w:rsidR="00715F39" w:rsidRPr="00903FBB" w:rsidRDefault="00DF6C37" w:rsidP="1D7C1DBF">
      <w:pPr>
        <w:pStyle w:val="ListParagraph"/>
        <w:numPr>
          <w:ilvl w:val="2"/>
          <w:numId w:val="25"/>
        </w:numPr>
      </w:pPr>
      <w:r w:rsidRPr="1D7C1DBF">
        <w:t>An existing product that may serve as a model in this space is Inclusive Prosperity Capital’s Navigator Loan</w:t>
      </w:r>
      <w:r w:rsidR="00477519">
        <w:t xml:space="preserve"> (IPC)</w:t>
      </w:r>
      <w:r w:rsidRPr="1D7C1DBF">
        <w:t>, which provides</w:t>
      </w:r>
      <w:r w:rsidRPr="1D7C1DBF">
        <w:rPr>
          <w:rFonts w:eastAsia="Gill Sans"/>
        </w:rPr>
        <w:t xml:space="preserve"> a standardized loan with a tech-enabled platform for intake and underwriting for owners to assess, plan, and design energy, health &amp; safety, and resiliency improvements, as well as the work necessary to secure construction and term financing to implement the improvements.</w:t>
      </w:r>
      <w:r w:rsidR="00477519">
        <w:rPr>
          <w:rFonts w:eastAsia="Gill Sans"/>
        </w:rPr>
        <w:t xml:space="preserve"> Since 2016, IPC has made 25 Navigator loans ranging from $5,000 to $390,000, totaling almost $2.5 million originated. Of the 25 loans, only one loan is non-performing. </w:t>
      </w:r>
    </w:p>
    <w:p w14:paraId="1F3AD2B2" w14:textId="5187748A" w:rsidR="00AC2506" w:rsidRPr="00AC2C87" w:rsidRDefault="00ED1668" w:rsidP="00715F39">
      <w:pPr>
        <w:pStyle w:val="ListParagraph"/>
        <w:numPr>
          <w:ilvl w:val="2"/>
          <w:numId w:val="25"/>
        </w:numPr>
        <w:rPr>
          <w:rFonts w:cstheme="minorHAnsi"/>
        </w:rPr>
      </w:pPr>
      <w:r w:rsidRPr="00903FBB">
        <w:rPr>
          <w:rFonts w:eastAsia="Gill Sans" w:cstheme="minorHAnsi"/>
        </w:rPr>
        <w:t xml:space="preserve">Another potential model to consider is </w:t>
      </w:r>
      <w:hyperlink r:id="rId41" w:history="1">
        <w:r w:rsidRPr="00903FBB">
          <w:rPr>
            <w:rStyle w:val="Hyperlink"/>
            <w:rFonts w:eastAsia="Gill Sans" w:cstheme="minorHAnsi"/>
          </w:rPr>
          <w:t>LISC Boston’s Climate Ready Housing</w:t>
        </w:r>
      </w:hyperlink>
      <w:r w:rsidRPr="00903FBB">
        <w:rPr>
          <w:rFonts w:eastAsia="Gill Sans" w:cstheme="minorHAnsi"/>
        </w:rPr>
        <w:t xml:space="preserve"> approach, which provides owners with two potential decarbonization paths</w:t>
      </w:r>
      <w:r w:rsidR="00715F39" w:rsidRPr="00903FBB">
        <w:rPr>
          <w:rFonts w:eastAsia="Gill Sans" w:cstheme="minorHAnsi"/>
        </w:rPr>
        <w:t xml:space="preserve"> as they prepare for recapitalization or consider mid-cycle upgrades</w:t>
      </w:r>
      <w:r w:rsidRPr="00903FBB">
        <w:rPr>
          <w:rFonts w:eastAsia="Gill Sans" w:cstheme="minorHAnsi"/>
        </w:rPr>
        <w:t>: “Deep Energy Retrofits” that achieve at least 50% reduction in carbon emissions, or “Zero Carbon Emissions Over Time (ZOT)” that assumes a less significant intervention but a long term plan to zero emissions by 2050.</w:t>
      </w:r>
    </w:p>
    <w:p w14:paraId="04387E7E" w14:textId="77777777" w:rsidR="00B07E50" w:rsidRPr="00903FBB" w:rsidRDefault="00B07E50" w:rsidP="002C0C9D">
      <w:pPr>
        <w:pStyle w:val="ListParagraph"/>
        <w:ind w:left="2520"/>
        <w:rPr>
          <w:rFonts w:cstheme="minorHAnsi"/>
        </w:rPr>
      </w:pPr>
    </w:p>
    <w:p w14:paraId="2EB1C99C" w14:textId="19DBA5EF" w:rsidR="00AC2506" w:rsidRDefault="26077C25" w:rsidP="1D7C1DBF">
      <w:pPr>
        <w:pStyle w:val="ListParagraph"/>
        <w:numPr>
          <w:ilvl w:val="1"/>
          <w:numId w:val="25"/>
        </w:numPr>
      </w:pPr>
      <w:r w:rsidRPr="002C0C9D">
        <w:rPr>
          <w:u w:val="single"/>
        </w:rPr>
        <w:t>Acquisition</w:t>
      </w:r>
      <w:r w:rsidR="0085661C" w:rsidRPr="002C0C9D">
        <w:rPr>
          <w:u w:val="single"/>
        </w:rPr>
        <w:t>:</w:t>
      </w:r>
      <w:r w:rsidR="32AA962E">
        <w:t xml:space="preserve"> </w:t>
      </w:r>
      <w:r w:rsidR="0085661C">
        <w:t>B</w:t>
      </w:r>
      <w:r w:rsidR="3EA219A3">
        <w:t xml:space="preserve">lending in </w:t>
      </w:r>
      <w:r w:rsidR="00F00880">
        <w:t>GGRF</w:t>
      </w:r>
      <w:r w:rsidR="32AA962E">
        <w:t xml:space="preserve"> capital</w:t>
      </w:r>
      <w:r w:rsidR="0BA89E14">
        <w:t xml:space="preserve"> to cover incremental decarbonization costs</w:t>
      </w:r>
      <w:r w:rsidR="4EB681C7">
        <w:t xml:space="preserve"> and predevelopment</w:t>
      </w:r>
      <w:r w:rsidR="32AA962E">
        <w:t xml:space="preserve">, lenders could structure higher LTV, lower interest acquisition loans that fund both </w:t>
      </w:r>
      <w:r w:rsidR="32AA962E">
        <w:t>acquisition</w:t>
      </w:r>
      <w:r w:rsidR="2C858AD1">
        <w:t xml:space="preserve">, initial </w:t>
      </w:r>
      <w:r w:rsidR="00B07E50">
        <w:t>decarbonization</w:t>
      </w:r>
      <w:r w:rsidR="2C858AD1">
        <w:t xml:space="preserve"> approaches, and </w:t>
      </w:r>
      <w:r w:rsidR="32AA962E">
        <w:t xml:space="preserve">the predevelopment feasibility studies </w:t>
      </w:r>
      <w:r w:rsidR="51942E20">
        <w:t xml:space="preserve">needed </w:t>
      </w:r>
      <w:r w:rsidR="72326590">
        <w:t>for a full rehab</w:t>
      </w:r>
      <w:r w:rsidR="32AA962E">
        <w:t>.</w:t>
      </w:r>
    </w:p>
    <w:p w14:paraId="5D7F88CB" w14:textId="77393745" w:rsidR="006619D3" w:rsidRPr="006619D3" w:rsidRDefault="006619D3" w:rsidP="1D7C1DBF">
      <w:pPr>
        <w:spacing w:line="259" w:lineRule="auto"/>
      </w:pPr>
    </w:p>
    <w:p w14:paraId="1E369C8A" w14:textId="46D1D02C" w:rsidR="00E850DA" w:rsidRPr="00AC2C87" w:rsidRDefault="002F078E" w:rsidP="002F078E">
      <w:pPr>
        <w:pStyle w:val="ListParagraph"/>
        <w:numPr>
          <w:ilvl w:val="0"/>
          <w:numId w:val="22"/>
        </w:numPr>
        <w:rPr>
          <w:rFonts w:cstheme="minorHAnsi"/>
          <w:u w:val="single"/>
        </w:rPr>
      </w:pPr>
      <w:r w:rsidRPr="1D7C1DBF">
        <w:rPr>
          <w:u w:val="single"/>
        </w:rPr>
        <w:t>Construction and Permanent Products</w:t>
      </w:r>
      <w:r w:rsidR="007F0446">
        <w:t xml:space="preserve">: </w:t>
      </w:r>
      <w:r w:rsidR="007339FA">
        <w:t>L</w:t>
      </w:r>
      <w:r w:rsidRPr="1D7C1DBF">
        <w:t>ong-term, low-interest, subordinated (or unsecured) debt</w:t>
      </w:r>
      <w:r w:rsidR="001379FF" w:rsidRPr="1D7C1DBF">
        <w:t xml:space="preserve"> with pricing incentives for deeper efficiency, electrification, and/or </w:t>
      </w:r>
      <w:r w:rsidR="001379FF" w:rsidRPr="1D7C1DBF">
        <w:lastRenderedPageBreak/>
        <w:t>resiliency work</w:t>
      </w:r>
      <w:r w:rsidRPr="1D7C1DBF">
        <w:t xml:space="preserve"> has the potential to make deeper energy retrofits and electrification possible for some existing multifamily buildings.</w:t>
      </w:r>
    </w:p>
    <w:p w14:paraId="2C79933A" w14:textId="77777777" w:rsidR="00B07E50" w:rsidRPr="00E850DA" w:rsidRDefault="00B07E50" w:rsidP="00AC2C87">
      <w:pPr>
        <w:pStyle w:val="ListParagraph"/>
        <w:rPr>
          <w:rFonts w:cstheme="minorHAnsi"/>
          <w:u w:val="single"/>
        </w:rPr>
      </w:pPr>
    </w:p>
    <w:p w14:paraId="3756A13D" w14:textId="50D1F47E" w:rsidR="00B07E50" w:rsidRPr="00AC2C87" w:rsidRDefault="002F078E" w:rsidP="00674E7F">
      <w:pPr>
        <w:pStyle w:val="ListParagraph"/>
        <w:numPr>
          <w:ilvl w:val="1"/>
          <w:numId w:val="22"/>
        </w:numPr>
        <w:rPr>
          <w:u w:val="single"/>
        </w:rPr>
      </w:pPr>
      <w:r w:rsidRPr="1D7C1DBF">
        <w:t xml:space="preserve">Existing product offerings that share some of these characteristics include Community Preservation Corporation’s </w:t>
      </w:r>
      <w:hyperlink r:id="rId42" w:history="1">
        <w:r w:rsidR="00ED0446" w:rsidRPr="00ED0446">
          <w:rPr>
            <w:rStyle w:val="Hyperlink"/>
          </w:rPr>
          <w:t>Climate Friendly Homes Fund</w:t>
        </w:r>
      </w:hyperlink>
      <w:r w:rsidRPr="1D7C1DBF">
        <w:t xml:space="preserve">, and </w:t>
      </w:r>
      <w:hyperlink r:id="rId43" w:anchor=":~:text=The%20Catalyst%20Loan%20provides%20construction,any%20local%20building%20energy%20requirements.">
        <w:r w:rsidRPr="1D7C1DBF">
          <w:rPr>
            <w:rStyle w:val="Hyperlink"/>
          </w:rPr>
          <w:t xml:space="preserve">Inclusive </w:t>
        </w:r>
      </w:hyperlink>
      <w:r w:rsidRPr="1D7C1DBF">
        <w:rPr>
          <w:rStyle w:val="Hyperlink"/>
        </w:rPr>
        <w:t>Prosperity Capital’s</w:t>
      </w:r>
      <w:r w:rsidR="006769BD">
        <w:rPr>
          <w:rStyle w:val="Hyperlink"/>
        </w:rPr>
        <w:t xml:space="preserve"> (IPC)</w:t>
      </w:r>
      <w:r w:rsidRPr="1D7C1DBF">
        <w:rPr>
          <w:rStyle w:val="Hyperlink"/>
        </w:rPr>
        <w:t xml:space="preserve"> Catalyst Loan Product</w:t>
      </w:r>
      <w:r w:rsidRPr="1D7C1DBF">
        <w:t>.</w:t>
      </w:r>
      <w:r w:rsidR="006769BD">
        <w:t xml:space="preserve"> IPC has closed 32 Catalyst loans ranging from $25,000 to $3.5 million and totaling $14.5 million. </w:t>
      </w:r>
      <w:r w:rsidR="008D440A">
        <w:t>The Catalyst loan portfolio has experienced no</w:t>
      </w:r>
      <w:r w:rsidR="006769BD">
        <w:t xml:space="preserve"> delinquencies or defaults.</w:t>
      </w:r>
    </w:p>
    <w:p w14:paraId="3E9A15CA" w14:textId="77777777" w:rsidR="00674E7F" w:rsidRPr="00AC2C87" w:rsidRDefault="00674E7F" w:rsidP="0070198B">
      <w:pPr>
        <w:pStyle w:val="ListParagraph"/>
        <w:ind w:left="1440"/>
        <w:rPr>
          <w:u w:val="single"/>
        </w:rPr>
      </w:pPr>
    </w:p>
    <w:p w14:paraId="4FCFB82F" w14:textId="62E11DED" w:rsidR="002F078E" w:rsidRPr="0070198B" w:rsidRDefault="00E850DA" w:rsidP="1D7C1DBF">
      <w:pPr>
        <w:pStyle w:val="ListParagraph"/>
        <w:numPr>
          <w:ilvl w:val="1"/>
          <w:numId w:val="22"/>
        </w:numPr>
        <w:spacing w:line="259" w:lineRule="auto"/>
        <w:rPr>
          <w:rFonts w:eastAsia="Calibri"/>
        </w:rPr>
      </w:pPr>
      <w:r w:rsidRPr="1D7C1DBF">
        <w:t xml:space="preserve">Massachusetts Housing Partnership offers a </w:t>
      </w:r>
      <w:hyperlink r:id="rId44">
        <w:r w:rsidRPr="1D7C1DBF">
          <w:rPr>
            <w:rStyle w:val="Hyperlink"/>
          </w:rPr>
          <w:t>Green Building Certification Financing Program</w:t>
        </w:r>
      </w:hyperlink>
      <w:r>
        <w:t xml:space="preserve"> that provides </w:t>
      </w:r>
      <w:r w:rsidRPr="1D7C1DBF">
        <w:t>interest rate discounts, reimbursement for commissioning costs, and 2 years of free energy benchmarking services for projects pursuing deeper green and healthy housing improvements. MHP has seen a significant uptake in this program</w:t>
      </w:r>
      <w:r w:rsidR="2DBAB2B1" w:rsidRPr="1D7C1DBF">
        <w:t xml:space="preserve"> and now </w:t>
      </w:r>
      <w:r w:rsidR="4312403E" w:rsidRPr="1D7C1DBF">
        <w:t>finance</w:t>
      </w:r>
      <w:r w:rsidR="13E28458" w:rsidRPr="1D7C1DBF">
        <w:t>s</w:t>
      </w:r>
      <w:r w:rsidR="4312403E" w:rsidRPr="1D7C1DBF">
        <w:t xml:space="preserve"> over </w:t>
      </w:r>
      <w:r w:rsidR="2DBAB2B1" w:rsidRPr="1D7C1DBF">
        <w:t xml:space="preserve">half of </w:t>
      </w:r>
      <w:r w:rsidR="348B1F04" w:rsidRPr="1D7C1DBF">
        <w:t>projects through this program</w:t>
      </w:r>
      <w:r w:rsidRPr="1D7C1DBF">
        <w:t xml:space="preserve">, which demonstrates the potential </w:t>
      </w:r>
      <w:r w:rsidR="39C03364" w:rsidRPr="1D7C1DBF">
        <w:t>incentive-based</w:t>
      </w:r>
      <w:r w:rsidRPr="1D7C1DBF">
        <w:t xml:space="preserve"> permanent financing can play in driving decarbonization.</w:t>
      </w:r>
    </w:p>
    <w:p w14:paraId="587677F6" w14:textId="77777777" w:rsidR="00B07E50" w:rsidRPr="0070198B" w:rsidRDefault="00B07E50" w:rsidP="0070198B">
      <w:pPr>
        <w:spacing w:line="259" w:lineRule="auto"/>
        <w:rPr>
          <w:rFonts w:eastAsia="Calibri"/>
        </w:rPr>
      </w:pPr>
    </w:p>
    <w:p w14:paraId="1234BC36" w14:textId="61D39A60" w:rsidR="00314AF4" w:rsidRPr="00125E7F" w:rsidRDefault="00314AF4" w:rsidP="1D7C1DBF">
      <w:pPr>
        <w:pStyle w:val="ListParagraph"/>
        <w:numPr>
          <w:ilvl w:val="1"/>
          <w:numId w:val="22"/>
        </w:numPr>
        <w:spacing w:line="259" w:lineRule="auto"/>
        <w:rPr>
          <w:rFonts w:eastAsia="Calibri"/>
        </w:rPr>
      </w:pPr>
      <w:r>
        <w:t xml:space="preserve">In addition to specific products, </w:t>
      </w:r>
      <w:r w:rsidR="00F00880">
        <w:t>GGRF</w:t>
      </w:r>
      <w:r>
        <w:t xml:space="preserve"> capital could be used for contingency pools </w:t>
      </w:r>
      <w:r w:rsidR="00B07E50">
        <w:t xml:space="preserve">on the </w:t>
      </w:r>
      <w:r>
        <w:t>portfolio</w:t>
      </w:r>
      <w:r w:rsidR="00B07E50">
        <w:t xml:space="preserve"> </w:t>
      </w:r>
      <w:r>
        <w:t xml:space="preserve">or city-wide basis to address both perceived and real </w:t>
      </w:r>
      <w:r>
        <w:t xml:space="preserve">risk </w:t>
      </w:r>
      <w:r>
        <w:t xml:space="preserve">associated with existing building decarbonization. </w:t>
      </w:r>
    </w:p>
    <w:p w14:paraId="3913319F" w14:textId="6F44F717" w:rsidR="005F696E" w:rsidRPr="005F696E" w:rsidRDefault="005F696E" w:rsidP="2821F8AF"/>
    <w:p w14:paraId="4DF48B0A" w14:textId="46DCD9D3" w:rsidR="005F696E" w:rsidRPr="005F696E" w:rsidRDefault="34214915" w:rsidP="1D7C1DBF">
      <w:pPr>
        <w:pStyle w:val="ListParagraph"/>
        <w:numPr>
          <w:ilvl w:val="0"/>
          <w:numId w:val="24"/>
        </w:numPr>
        <w:rPr>
          <w:rFonts w:eastAsia="Calibri"/>
        </w:rPr>
      </w:pPr>
      <w:r w:rsidRPr="001C0341">
        <w:rPr>
          <w:b/>
          <w:bCs/>
          <w:i/>
          <w:iCs/>
        </w:rPr>
        <w:t>New Construction</w:t>
      </w:r>
      <w:r w:rsidR="007F0446" w:rsidRPr="001C0341">
        <w:rPr>
          <w:b/>
          <w:bCs/>
          <w:i/>
          <w:iCs/>
        </w:rPr>
        <w:t>:</w:t>
      </w:r>
      <w:r w:rsidR="007F0446" w:rsidRPr="001C0341">
        <w:rPr>
          <w:i/>
          <w:iCs/>
        </w:rPr>
        <w:t xml:space="preserve"> </w:t>
      </w:r>
      <w:r w:rsidRPr="1D7C1DBF">
        <w:t xml:space="preserve">Many new construction projects could benefit from low-cost or incentivized financing for achieving much higher standards in energy efficiency and electrification than </w:t>
      </w:r>
      <w:r w:rsidRPr="1D7C1DBF">
        <w:rPr>
          <w:rFonts w:eastAsia="Calibri"/>
        </w:rPr>
        <w:t xml:space="preserve">building code currently sets. </w:t>
      </w:r>
      <w:r w:rsidR="00B044EB" w:rsidRPr="00161FD0">
        <w:rPr>
          <w:rFonts w:ascii="Calibri" w:hAnsi="Calibri" w:cs="Calibri"/>
          <w:color w:val="000000"/>
        </w:rPr>
        <w:t>Although all-electric new construction is typically lower cost to build than mixed fuel construction, many developers may need incentives to encourage them to</w:t>
      </w:r>
      <w:r w:rsidR="00B07E50">
        <w:rPr>
          <w:rFonts w:ascii="Calibri" w:hAnsi="Calibri" w:cs="Calibri"/>
          <w:color w:val="000000"/>
        </w:rPr>
        <w:t xml:space="preserve"> deviate from the norm</w:t>
      </w:r>
      <w:r w:rsidR="00B044EB" w:rsidRPr="00161FD0">
        <w:rPr>
          <w:rFonts w:ascii="Calibri" w:hAnsi="Calibri" w:cs="Calibri"/>
          <w:color w:val="000000"/>
        </w:rPr>
        <w:t xml:space="preserve">, especially when planning and soft costs may be higher than doing </w:t>
      </w:r>
      <w:r w:rsidR="00B07E50">
        <w:rPr>
          <w:rFonts w:ascii="Calibri" w:hAnsi="Calibri" w:cs="Calibri"/>
          <w:color w:val="000000"/>
        </w:rPr>
        <w:t>business as usual</w:t>
      </w:r>
      <w:r w:rsidR="00B044EB" w:rsidRPr="00161FD0">
        <w:rPr>
          <w:rFonts w:ascii="Calibri" w:hAnsi="Calibri" w:cs="Calibri"/>
          <w:color w:val="000000"/>
        </w:rPr>
        <w:t xml:space="preserve">. </w:t>
      </w:r>
      <w:r w:rsidR="00B07E50">
        <w:rPr>
          <w:rFonts w:eastAsia="Calibri"/>
        </w:rPr>
        <w:t>Lower-cost</w:t>
      </w:r>
      <w:r w:rsidRPr="1D7C1DBF">
        <w:rPr>
          <w:rFonts w:eastAsia="Calibri"/>
        </w:rPr>
        <w:t xml:space="preserve"> financing in the new construction space could increase early adoption rates in areas of the country not currently under Building Performance Standards. Presumably, new construction projects will be longer-lived than existing building projects, and less scarce public capital is required to fill the decarbonization gap.</w:t>
      </w:r>
    </w:p>
    <w:p w14:paraId="00F4B071" w14:textId="51ABA599" w:rsidR="005F696E" w:rsidRPr="005F696E" w:rsidRDefault="005F696E" w:rsidP="1D7C1DBF">
      <w:pPr>
        <w:rPr>
          <w:rFonts w:eastAsia="Calibri"/>
        </w:rPr>
      </w:pPr>
    </w:p>
    <w:p w14:paraId="4CAE00E7" w14:textId="6C0A6A3B" w:rsidR="005F696E" w:rsidRPr="005F696E" w:rsidRDefault="43D4A220" w:rsidP="002066E0">
      <w:pPr>
        <w:pStyle w:val="ListParagraph"/>
        <w:numPr>
          <w:ilvl w:val="1"/>
          <w:numId w:val="24"/>
        </w:numPr>
      </w:pPr>
      <w:r w:rsidRPr="1D7C1DBF">
        <w:t xml:space="preserve">Other </w:t>
      </w:r>
      <w:r w:rsidR="19A16065" w:rsidRPr="1D7C1DBF">
        <w:t>“</w:t>
      </w:r>
      <w:r w:rsidR="54AB55C3" w:rsidRPr="1D7C1DBF">
        <w:t>e</w:t>
      </w:r>
      <w:r w:rsidR="19A16065" w:rsidRPr="1D7C1DBF">
        <w:t>cosystem” a</w:t>
      </w:r>
      <w:r w:rsidR="00E90D4E" w:rsidRPr="1D7C1DBF">
        <w:t xml:space="preserve">pproaches to multifamily decarbonization that </w:t>
      </w:r>
      <w:r w:rsidR="00E90D4E" w:rsidRPr="1D7C1DBF">
        <w:t xml:space="preserve">go </w:t>
      </w:r>
      <w:r w:rsidR="00E90D4E" w:rsidRPr="1D7C1DBF">
        <w:t>beyond financing interventions should be prioritized, including investments in w</w:t>
      </w:r>
      <w:r w:rsidR="00D00820" w:rsidRPr="1D7C1DBF">
        <w:t xml:space="preserve">orkforce </w:t>
      </w:r>
      <w:r w:rsidR="00E90D4E" w:rsidRPr="1D7C1DBF">
        <w:t>d</w:t>
      </w:r>
      <w:r w:rsidR="00D00820" w:rsidRPr="1D7C1DBF">
        <w:t xml:space="preserve">evelopment and </w:t>
      </w:r>
      <w:r w:rsidR="00E90D4E" w:rsidRPr="1D7C1DBF">
        <w:t>s</w:t>
      </w:r>
      <w:r w:rsidR="00D00820" w:rsidRPr="1D7C1DBF">
        <w:t xml:space="preserve">mall </w:t>
      </w:r>
      <w:r w:rsidR="00E90D4E" w:rsidRPr="1D7C1DBF">
        <w:t>b</w:t>
      </w:r>
      <w:r w:rsidR="00D00820" w:rsidRPr="1D7C1DBF">
        <w:t xml:space="preserve">usiness </w:t>
      </w:r>
      <w:r w:rsidR="00E90D4E" w:rsidRPr="1D7C1DBF">
        <w:t>training and s</w:t>
      </w:r>
      <w:r w:rsidR="00D00820" w:rsidRPr="1D7C1DBF">
        <w:t>upport</w:t>
      </w:r>
      <w:r w:rsidR="00E90D4E" w:rsidRPr="1D7C1DBF">
        <w:t xml:space="preserve">. Growing demand for electricians, heat pump installers, and architects and engineers equipped with deep technical knowledge, are just some examples of opportunities to increase local jobs and businesses. Partners who are organized around achieving social and racial equity outcomes in this work </w:t>
      </w:r>
      <w:r w:rsidR="006817D6">
        <w:t xml:space="preserve">– for example, those that focused on addressing racial employment inequities, </w:t>
      </w:r>
      <w:r w:rsidR="00B07E50">
        <w:t>community ownership</w:t>
      </w:r>
      <w:r w:rsidR="006817D6">
        <w:t xml:space="preserve">, and wealth-building – </w:t>
      </w:r>
      <w:r w:rsidR="00E90D4E" w:rsidRPr="1D7C1DBF">
        <w:t>should be prioritized.</w:t>
      </w:r>
      <w:r w:rsidR="3F977B78" w:rsidRPr="1D7C1DBF">
        <w:t xml:space="preserve"> Lenders receiving </w:t>
      </w:r>
      <w:r w:rsidR="00F00880">
        <w:t>GGRF</w:t>
      </w:r>
      <w:r w:rsidR="3F977B78" w:rsidRPr="1D7C1DBF">
        <w:t xml:space="preserve"> capital should consider parallel “ecosystem” investments that can address </w:t>
      </w:r>
      <w:r w:rsidR="00B07E50">
        <w:t xml:space="preserve">the </w:t>
      </w:r>
      <w:r w:rsidR="3F977B78" w:rsidRPr="1D7C1DBF">
        <w:t xml:space="preserve">barriers discussed above </w:t>
      </w:r>
      <w:r w:rsidR="3F977B78" w:rsidRPr="1D7C1DBF">
        <w:lastRenderedPageBreak/>
        <w:t>and help build a more sustainable pipeline of projects that also produce co-benefits for communities.</w:t>
      </w:r>
    </w:p>
    <w:p w14:paraId="7A37AFCF" w14:textId="42ACF882" w:rsidR="006A19CD" w:rsidRDefault="006A19CD" w:rsidP="00F01A01">
      <w:pPr>
        <w:rPr>
          <w:rFonts w:cstheme="minorHAnsi"/>
        </w:rPr>
      </w:pPr>
    </w:p>
    <w:p w14:paraId="4B1B0815" w14:textId="0A005C33" w:rsidR="004D0DAF" w:rsidRDefault="004D0DAF" w:rsidP="004D0DAF">
      <w:pPr>
        <w:pStyle w:val="ListParagraph"/>
        <w:numPr>
          <w:ilvl w:val="0"/>
          <w:numId w:val="24"/>
        </w:numPr>
      </w:pPr>
      <w:r w:rsidRPr="1D7C1DBF">
        <w:t xml:space="preserve">As previously discussed, energy efficiency and electrification approaches may produce unintended </w:t>
      </w:r>
      <w:r>
        <w:t xml:space="preserve">consequences for residents in the form of potential displacement, eviction, and/or rent or utility increases. Lenders should seek to mitigate these potential outcomes </w:t>
      </w:r>
      <w:r w:rsidR="00B07E50">
        <w:t>upfront</w:t>
      </w:r>
      <w:r>
        <w:t xml:space="preserve"> in their loan documents</w:t>
      </w:r>
      <w:r w:rsidR="7E144708">
        <w:t xml:space="preserve"> and as borrowers complete the predevelopment work associated with retrofit and electrification work</w:t>
      </w:r>
      <w:r>
        <w:t>.</w:t>
      </w:r>
    </w:p>
    <w:p w14:paraId="6E7C0B80" w14:textId="77777777" w:rsidR="00B07E50" w:rsidRDefault="00B07E50" w:rsidP="00A7161D"/>
    <w:p w14:paraId="0D81B0AD" w14:textId="26683D71" w:rsidR="00E74CB6" w:rsidRPr="004D0DAF" w:rsidRDefault="004D0DAF" w:rsidP="004D0DAF">
      <w:pPr>
        <w:pStyle w:val="ListParagraph"/>
        <w:numPr>
          <w:ilvl w:val="1"/>
          <w:numId w:val="24"/>
        </w:numPr>
      </w:pPr>
      <w:r>
        <w:t>Or</w:t>
      </w:r>
      <w:r w:rsidRPr="004D0DAF">
        <w:t>ganizations like the Institute for Market Transformation</w:t>
      </w:r>
      <w:r w:rsidR="00114F98">
        <w:t xml:space="preserve"> and Building Electrification Institute</w:t>
      </w:r>
      <w:r w:rsidRPr="004D0DAF">
        <w:t xml:space="preserve">, heavily involved in the design and implementation of building decarbonization policies, </w:t>
      </w:r>
      <w:hyperlink r:id="rId45" w:history="1">
        <w:r w:rsidRPr="004D0DAF">
          <w:rPr>
            <w:rStyle w:val="Hyperlink"/>
          </w:rPr>
          <w:t>recommend that</w:t>
        </w:r>
      </w:hyperlink>
      <w:r w:rsidRPr="004D0DAF">
        <w:t xml:space="preserve"> loan programs catered to affordable multifamily housing be </w:t>
      </w:r>
      <w:hyperlink r:id="rId46" w:history="1">
        <w:r w:rsidRPr="00114F98">
          <w:rPr>
            <w:rStyle w:val="Hyperlink"/>
          </w:rPr>
          <w:t>deployed with conditions</w:t>
        </w:r>
      </w:hyperlink>
      <w:r w:rsidRPr="004D0DAF">
        <w:t xml:space="preserve"> that protect tenants, such as rent increase restrictions, eviction protections, and conditions for sale.</w:t>
      </w:r>
    </w:p>
    <w:p w14:paraId="4BE1BD9D" w14:textId="7DE23D79" w:rsidR="004F4FC7" w:rsidRPr="00903FBB" w:rsidRDefault="004F4FC7" w:rsidP="1D7C1DBF">
      <w:pPr>
        <w:spacing w:line="259" w:lineRule="auto"/>
      </w:pPr>
    </w:p>
    <w:p w14:paraId="7A4687B8" w14:textId="477DF515" w:rsidR="00B07E50" w:rsidRPr="00B07E50" w:rsidRDefault="0975695C" w:rsidP="009B1DB0">
      <w:pPr>
        <w:pStyle w:val="Heading2"/>
      </w:pPr>
      <w:r w:rsidRPr="009B1DB0">
        <w:rPr>
          <w:sz w:val="28"/>
          <w:szCs w:val="28"/>
        </w:rPr>
        <w:t>Conclusion</w:t>
      </w:r>
    </w:p>
    <w:p w14:paraId="71368587" w14:textId="149DF206" w:rsidR="00431C52" w:rsidRDefault="00B07E50" w:rsidP="009B1DB0">
      <w:r>
        <w:t>Significant</w:t>
      </w:r>
      <w:r w:rsidR="0975695C">
        <w:t xml:space="preserve"> greenhouse gas reduction </w:t>
      </w:r>
      <w:r w:rsidR="5EB81527">
        <w:t xml:space="preserve">and improved </w:t>
      </w:r>
      <w:r w:rsidR="4237EA4B">
        <w:t>health, economic, and resiliency outcomes</w:t>
      </w:r>
      <w:r w:rsidR="5EB81527">
        <w:t xml:space="preserve"> are</w:t>
      </w:r>
      <w:r w:rsidR="0975695C">
        <w:t xml:space="preserve"> achievable through strategic investment</w:t>
      </w:r>
      <w:r w:rsidR="3553063E">
        <w:t xml:space="preserve"> with </w:t>
      </w:r>
      <w:r w:rsidR="00F00880">
        <w:t>GGRF</w:t>
      </w:r>
      <w:r w:rsidR="3553063E">
        <w:t xml:space="preserve"> capital</w:t>
      </w:r>
      <w:r w:rsidR="0975695C">
        <w:t xml:space="preserve"> in </w:t>
      </w:r>
      <w:r w:rsidR="5807252A">
        <w:t>the decarbonization of</w:t>
      </w:r>
      <w:r w:rsidR="2B2EF393">
        <w:t xml:space="preserve"> </w:t>
      </w:r>
      <w:r w:rsidR="00341C01">
        <w:t>affordable multifamily</w:t>
      </w:r>
      <w:r w:rsidR="0975695C">
        <w:t xml:space="preserve"> buildings</w:t>
      </w:r>
      <w:r w:rsidR="1E9C7C4B">
        <w:t xml:space="preserve"> across the country</w:t>
      </w:r>
      <w:r w:rsidR="0975695C">
        <w:t>.</w:t>
      </w:r>
    </w:p>
    <w:p w14:paraId="1799E3DB" w14:textId="4D4EB5FF" w:rsidR="00431C52" w:rsidRDefault="177A9617" w:rsidP="00431C52">
      <w:pPr>
        <w:spacing w:before="120" w:after="120"/>
      </w:pPr>
      <w:r>
        <w:t>Such outcomes</w:t>
      </w:r>
      <w:r w:rsidR="0975695C">
        <w:t xml:space="preserve"> will require coordination and collaboration by lenders, developers, installers, technical assistance providers, policy and advocacy groups, community groups, and other key players across the ecosystem. Successful investment strategies will address the complicated set of economic, physical, </w:t>
      </w:r>
      <w:r w:rsidR="33AC8CE5">
        <w:t xml:space="preserve">and </w:t>
      </w:r>
      <w:r w:rsidR="0975695C">
        <w:t>regulatory</w:t>
      </w:r>
      <w:r w:rsidR="2518CF63">
        <w:t xml:space="preserve"> </w:t>
      </w:r>
      <w:r w:rsidR="0975695C">
        <w:t>barriers to developing the</w:t>
      </w:r>
      <w:r w:rsidR="1D6DF057">
        <w:t xml:space="preserve"> </w:t>
      </w:r>
      <w:r w:rsidR="6611A657">
        <w:t xml:space="preserve">building decarbonization </w:t>
      </w:r>
      <w:r w:rsidR="0975695C">
        <w:t xml:space="preserve">market for this sector, getting investable </w:t>
      </w:r>
      <w:r w:rsidR="464E2DB9">
        <w:t>projects</w:t>
      </w:r>
      <w:r w:rsidR="0975695C">
        <w:t>, and achieving impact</w:t>
      </w:r>
      <w:r w:rsidR="4B39FE81">
        <w:t xml:space="preserve"> </w:t>
      </w:r>
      <w:r w:rsidR="00E9790C">
        <w:t xml:space="preserve">– </w:t>
      </w:r>
      <w:r w:rsidR="0975695C">
        <w:t xml:space="preserve">challenges that are particularly acute in </w:t>
      </w:r>
      <w:r w:rsidR="3E1F140C">
        <w:t xml:space="preserve">low-income </w:t>
      </w:r>
      <w:r w:rsidR="0975695C">
        <w:t xml:space="preserve">and </w:t>
      </w:r>
      <w:r w:rsidR="581DCBCC">
        <w:t xml:space="preserve">marginalized </w:t>
      </w:r>
      <w:r w:rsidR="0975695C">
        <w:t>communities.</w:t>
      </w:r>
      <w:r w:rsidR="26B7EA9F">
        <w:t xml:space="preserve"> </w:t>
      </w:r>
      <w:r w:rsidR="2E2B25DE">
        <w:t xml:space="preserve">By taking an </w:t>
      </w:r>
      <w:r w:rsidR="001C0625">
        <w:t>ecosystem-level</w:t>
      </w:r>
      <w:r w:rsidR="2E2B25DE">
        <w:t xml:space="preserve"> approach to building decarbonization, </w:t>
      </w:r>
      <w:r w:rsidR="0975695C">
        <w:t xml:space="preserve">we can </w:t>
      </w:r>
      <w:r w:rsidR="51767BFF">
        <w:t xml:space="preserve">work to </w:t>
      </w:r>
      <w:r w:rsidR="52938992">
        <w:t xml:space="preserve">drive significant </w:t>
      </w:r>
      <w:r w:rsidR="001C0625">
        <w:t>quality-of-life</w:t>
      </w:r>
      <w:r w:rsidR="52938992">
        <w:t xml:space="preserve"> improvements for millions </w:t>
      </w:r>
      <w:r w:rsidR="0975695C">
        <w:t xml:space="preserve">and begin to structure investments to ensure that resilience and greenhouse gas reduction are engineered into every </w:t>
      </w:r>
      <w:r w:rsidR="6D25E91D">
        <w:t>investment</w:t>
      </w:r>
      <w:r w:rsidR="0975695C">
        <w:t>, every building, every business, every project, everywhere, for everyone.</w:t>
      </w:r>
    </w:p>
    <w:p w14:paraId="05C6FC57" w14:textId="77777777" w:rsidR="00431C52" w:rsidRPr="00DB412D" w:rsidRDefault="00431C52" w:rsidP="00431C52"/>
    <w:p w14:paraId="6A87BC15" w14:textId="555E1AF3" w:rsidR="001C0625" w:rsidRPr="001C0625" w:rsidRDefault="001C0625" w:rsidP="009B1DB0">
      <w:pPr>
        <w:pStyle w:val="Heading2"/>
      </w:pPr>
      <w:r w:rsidRPr="009B1DB0">
        <w:rPr>
          <w:sz w:val="28"/>
          <w:szCs w:val="28"/>
        </w:rPr>
        <w:t>Acknowledgments</w:t>
      </w:r>
    </w:p>
    <w:p w14:paraId="49E5023A" w14:textId="2A7A62EA" w:rsidR="004F4FC7" w:rsidRPr="00B33C7D" w:rsidRDefault="0975695C" w:rsidP="00581BAC">
      <w:r>
        <w:t>T</w:t>
      </w:r>
      <w:r w:rsidR="001C0625">
        <w:t xml:space="preserve">his </w:t>
      </w:r>
      <w:r>
        <w:t xml:space="preserve">strategy guide was </w:t>
      </w:r>
      <w:r w:rsidR="23505499">
        <w:t>author</w:t>
      </w:r>
      <w:r w:rsidR="5151A553">
        <w:t xml:space="preserve">ed by Adam Kent, Natural Resources Defense Council (NRDC); Eric Hangen, </w:t>
      </w:r>
      <w:r w:rsidR="429029D3">
        <w:t>University of New Hampshire’s Center for Impact Finance (CIF)</w:t>
      </w:r>
      <w:r w:rsidR="5151A553">
        <w:t>; and Olivia Walker (NRDC)</w:t>
      </w:r>
      <w:r>
        <w:t xml:space="preserve">. </w:t>
      </w:r>
      <w:r w:rsidR="287BC70E">
        <w:t xml:space="preserve">Other </w:t>
      </w:r>
      <w:r>
        <w:t xml:space="preserve">NRDC </w:t>
      </w:r>
      <w:r w:rsidR="429029D3">
        <w:t xml:space="preserve">and CIF </w:t>
      </w:r>
      <w:r>
        <w:t xml:space="preserve">staff </w:t>
      </w:r>
      <w:r w:rsidR="429029D3">
        <w:t>members</w:t>
      </w:r>
      <w:r>
        <w:t xml:space="preserve"> provided comments and input.</w:t>
      </w:r>
      <w:r w:rsidR="5151A553">
        <w:t xml:space="preserve"> </w:t>
      </w:r>
      <w:r w:rsidR="429029D3">
        <w:t>Special thanks to the following k</w:t>
      </w:r>
      <w:r w:rsidR="23505499">
        <w:t xml:space="preserve">ey </w:t>
      </w:r>
      <w:r w:rsidR="429029D3">
        <w:t>c</w:t>
      </w:r>
      <w:r w:rsidR="23505499">
        <w:t>ontributors</w:t>
      </w:r>
      <w:r w:rsidR="429029D3">
        <w:t>:</w:t>
      </w:r>
      <w:r w:rsidR="5151A553">
        <w:t xml:space="preserve"> </w:t>
      </w:r>
      <w:r w:rsidR="23505499">
        <w:t>Susan Leeds</w:t>
      </w:r>
      <w:r w:rsidR="5151A553">
        <w:t xml:space="preserve">; </w:t>
      </w:r>
      <w:r w:rsidR="23505499">
        <w:t>Melanie Duenas</w:t>
      </w:r>
      <w:r w:rsidR="00E9790C">
        <w:t xml:space="preserve"> (</w:t>
      </w:r>
      <w:r w:rsidR="23505499">
        <w:t>NRDC</w:t>
      </w:r>
      <w:r w:rsidR="00E9790C">
        <w:t>)</w:t>
      </w:r>
      <w:r w:rsidR="5151A553">
        <w:t xml:space="preserve">; </w:t>
      </w:r>
      <w:r w:rsidR="23505499">
        <w:t>Lindsay Robbins</w:t>
      </w:r>
      <w:r w:rsidR="00E9790C">
        <w:t xml:space="preserve"> (</w:t>
      </w:r>
      <w:r w:rsidR="23505499">
        <w:t>NRDC</w:t>
      </w:r>
      <w:r w:rsidR="00E9790C">
        <w:t>)</w:t>
      </w:r>
      <w:r w:rsidR="5151A553">
        <w:t xml:space="preserve">; </w:t>
      </w:r>
      <w:proofErr w:type="spellStart"/>
      <w:r w:rsidR="23505499">
        <w:t>Bomee</w:t>
      </w:r>
      <w:proofErr w:type="spellEnd"/>
      <w:r w:rsidR="23505499">
        <w:t xml:space="preserve"> Jung</w:t>
      </w:r>
      <w:r w:rsidR="00E9790C">
        <w:t xml:space="preserve"> (</w:t>
      </w:r>
      <w:r w:rsidR="003C7715">
        <w:t>Ca</w:t>
      </w:r>
      <w:r w:rsidR="00524187">
        <w:t xml:space="preserve">dence </w:t>
      </w:r>
      <w:proofErr w:type="spellStart"/>
      <w:r w:rsidR="00524187">
        <w:t>OneFive</w:t>
      </w:r>
      <w:proofErr w:type="spellEnd"/>
      <w:r w:rsidR="00E9790C">
        <w:t>)</w:t>
      </w:r>
      <w:r w:rsidR="5151A553">
        <w:t xml:space="preserve">; </w:t>
      </w:r>
      <w:r w:rsidR="287BC70E">
        <w:t xml:space="preserve">and </w:t>
      </w:r>
      <w:r w:rsidR="23505499">
        <w:t>Jenna Tatum</w:t>
      </w:r>
      <w:r w:rsidR="00E9790C">
        <w:t xml:space="preserve"> (</w:t>
      </w:r>
      <w:r w:rsidR="23505499">
        <w:t>BEI</w:t>
      </w:r>
      <w:r w:rsidR="00E9790C">
        <w:t>)</w:t>
      </w:r>
      <w:r w:rsidR="1A4B8966">
        <w:t>.</w:t>
      </w:r>
      <w:r w:rsidR="007544B5">
        <w:t xml:space="preserve"> </w:t>
      </w:r>
      <w:r w:rsidR="287BC70E">
        <w:t>In addition,</w:t>
      </w:r>
      <w:r w:rsidR="00E9790C">
        <w:t xml:space="preserve"> dozens of </w:t>
      </w:r>
      <w:r>
        <w:t>individuals from green banks, community finance organizations, energy efficiency implementation companies</w:t>
      </w:r>
      <w:r w:rsidR="00E9790C">
        <w:t>, local governments,</w:t>
      </w:r>
      <w:r>
        <w:t xml:space="preserve"> </w:t>
      </w:r>
      <w:r w:rsidR="00E9790C">
        <w:t xml:space="preserve">community-based organizations, environmental justice organizations, </w:t>
      </w:r>
      <w:r>
        <w:t xml:space="preserve">and </w:t>
      </w:r>
      <w:r w:rsidR="00E9790C">
        <w:t xml:space="preserve">advocacy organizations </w:t>
      </w:r>
      <w:r>
        <w:t xml:space="preserve">contributed important recommendations and on-the-ground intelligence as well as model products, </w:t>
      </w:r>
      <w:r w:rsidR="00DC52D2">
        <w:t xml:space="preserve">and </w:t>
      </w:r>
      <w:r>
        <w:t xml:space="preserve">programs, </w:t>
      </w:r>
      <w:r>
        <w:lastRenderedPageBreak/>
        <w:t xml:space="preserve">and participated in two working sessions held in late 2022.  </w:t>
      </w:r>
      <w:r w:rsidR="00B33C7D">
        <w:br/>
      </w:r>
    </w:p>
    <w:p w14:paraId="3C420B7B" w14:textId="7C4C46CF" w:rsidR="004F4FC7" w:rsidRPr="00497AB5" w:rsidRDefault="00656EBB" w:rsidP="009B1DB0">
      <w:pPr>
        <w:pStyle w:val="Heading3"/>
        <w:rPr>
          <w:sz w:val="28"/>
          <w:szCs w:val="28"/>
        </w:rPr>
      </w:pPr>
      <w:r w:rsidRPr="009B1DB0">
        <w:rPr>
          <w:sz w:val="28"/>
          <w:szCs w:val="28"/>
        </w:rPr>
        <w:t xml:space="preserve">Links to relevant </w:t>
      </w:r>
      <w:r w:rsidR="00C74986">
        <w:rPr>
          <w:sz w:val="28"/>
          <w:szCs w:val="28"/>
        </w:rPr>
        <w:t>L</w:t>
      </w:r>
      <w:r w:rsidRPr="009B1DB0">
        <w:rPr>
          <w:sz w:val="28"/>
          <w:szCs w:val="28"/>
        </w:rPr>
        <w:t>iterature</w:t>
      </w:r>
      <w:r w:rsidR="5E87CC0D" w:rsidRPr="009B1DB0">
        <w:rPr>
          <w:sz w:val="28"/>
          <w:szCs w:val="28"/>
        </w:rPr>
        <w:t xml:space="preserve">, </w:t>
      </w:r>
      <w:r w:rsidR="00C74986">
        <w:rPr>
          <w:sz w:val="28"/>
          <w:szCs w:val="28"/>
        </w:rPr>
        <w:t>W</w:t>
      </w:r>
      <w:r w:rsidRPr="009B1DB0">
        <w:rPr>
          <w:sz w:val="28"/>
          <w:szCs w:val="28"/>
        </w:rPr>
        <w:t>ebsites</w:t>
      </w:r>
      <w:r w:rsidR="423DE7B7" w:rsidRPr="009B1DB0">
        <w:rPr>
          <w:sz w:val="28"/>
          <w:szCs w:val="28"/>
        </w:rPr>
        <w:t xml:space="preserve">, and </w:t>
      </w:r>
      <w:r w:rsidR="00C74986">
        <w:rPr>
          <w:sz w:val="28"/>
          <w:szCs w:val="28"/>
        </w:rPr>
        <w:t>C</w:t>
      </w:r>
      <w:r w:rsidR="423DE7B7" w:rsidRPr="009B1DB0">
        <w:rPr>
          <w:sz w:val="28"/>
          <w:szCs w:val="28"/>
        </w:rPr>
        <w:t xml:space="preserve">ase </w:t>
      </w:r>
      <w:r w:rsidR="00C74986">
        <w:rPr>
          <w:sz w:val="28"/>
          <w:szCs w:val="28"/>
        </w:rPr>
        <w:t>S</w:t>
      </w:r>
      <w:r w:rsidR="423DE7B7" w:rsidRPr="00497AB5">
        <w:rPr>
          <w:sz w:val="28"/>
          <w:szCs w:val="28"/>
        </w:rPr>
        <w:t>tudies</w:t>
      </w:r>
    </w:p>
    <w:p w14:paraId="307AAB3E" w14:textId="49627E3F" w:rsidR="02E88350" w:rsidRPr="00903FBB" w:rsidRDefault="02E88350" w:rsidP="3F4756A7">
      <w:pPr>
        <w:rPr>
          <w:rFonts w:eastAsia="Calibri"/>
        </w:rPr>
      </w:pPr>
    </w:p>
    <w:p w14:paraId="6E34E629" w14:textId="7BC8DAE9" w:rsidR="02E88350" w:rsidRPr="00903FBB" w:rsidRDefault="00524187" w:rsidP="3F4756A7">
      <w:hyperlink r:id="rId47">
        <w:r w:rsidR="00D10CA4">
          <w:rPr>
            <w:rStyle w:val="Hyperlink"/>
            <w:rFonts w:eastAsia="Calibri"/>
          </w:rPr>
          <w:t>Energy Star- Multifamily High Rise Program</w:t>
        </w:r>
      </w:hyperlink>
    </w:p>
    <w:p w14:paraId="37A5181B" w14:textId="00D508DF" w:rsidR="02E88350" w:rsidRPr="00903FBB" w:rsidRDefault="3704DF98" w:rsidP="3F4756A7">
      <w:r w:rsidRPr="3F4756A7">
        <w:rPr>
          <w:rFonts w:eastAsia="Calibri"/>
        </w:rPr>
        <w:t xml:space="preserve"> </w:t>
      </w:r>
    </w:p>
    <w:p w14:paraId="5DBD0C71" w14:textId="2DCF2D06" w:rsidR="02E88350" w:rsidRPr="00903FBB" w:rsidRDefault="00524187" w:rsidP="3F4756A7">
      <w:hyperlink r:id="rId48">
        <w:r w:rsidR="00D10CA4">
          <w:rPr>
            <w:rStyle w:val="Hyperlink"/>
            <w:rFonts w:eastAsia="Calibri"/>
          </w:rPr>
          <w:t>Energy Star- Multifamily New Building Construction Building Eligibility</w:t>
        </w:r>
      </w:hyperlink>
    </w:p>
    <w:p w14:paraId="190B9874" w14:textId="4322CDDC" w:rsidR="02E88350" w:rsidRPr="00903FBB" w:rsidRDefault="3704DF98" w:rsidP="3F4756A7">
      <w:r w:rsidRPr="3F4756A7">
        <w:rPr>
          <w:rFonts w:eastAsia="Calibri"/>
        </w:rPr>
        <w:t xml:space="preserve"> </w:t>
      </w:r>
    </w:p>
    <w:p w14:paraId="56F49F16" w14:textId="31A97932" w:rsidR="02E88350" w:rsidRPr="00903FBB" w:rsidRDefault="00524187" w:rsidP="3F4756A7">
      <w:hyperlink r:id="rId49">
        <w:r w:rsidR="00D10CA4">
          <w:rPr>
            <w:rStyle w:val="Hyperlink"/>
            <w:rFonts w:eastAsia="Calibri"/>
          </w:rPr>
          <w:t>Enterprise Green Communities Criteria &amp; Certification</w:t>
        </w:r>
      </w:hyperlink>
    </w:p>
    <w:p w14:paraId="7C1885A0" w14:textId="72DCAC92" w:rsidR="575FBCA5" w:rsidRDefault="575FBCA5" w:rsidP="575FBCA5">
      <w:pPr>
        <w:rPr>
          <w:rFonts w:eastAsia="Calibri"/>
        </w:rPr>
      </w:pPr>
    </w:p>
    <w:p w14:paraId="30646948" w14:textId="31E1B3E9" w:rsidR="59319F11" w:rsidRDefault="00D10CA4" w:rsidP="575FBCA5">
      <w:pPr>
        <w:rPr>
          <w:rFonts w:eastAsia="Calibri"/>
        </w:rPr>
      </w:pPr>
      <w:hyperlink r:id="rId50" w:history="1">
        <w:proofErr w:type="spellStart"/>
        <w:r>
          <w:rPr>
            <w:rStyle w:val="Hyperlink"/>
            <w:rFonts w:eastAsia="Calibri"/>
          </w:rPr>
          <w:t>nrdc</w:t>
        </w:r>
        <w:proofErr w:type="spellEnd"/>
        <w:r>
          <w:rPr>
            <w:rStyle w:val="Hyperlink"/>
            <w:rFonts w:eastAsia="Calibri"/>
          </w:rPr>
          <w:t>- Los Angeles Affordable Decarbonization Study Phase 2</w:t>
        </w:r>
      </w:hyperlink>
    </w:p>
    <w:p w14:paraId="384C48F5" w14:textId="5D9A616F" w:rsidR="02E88350" w:rsidRPr="00903FBB" w:rsidRDefault="02E88350" w:rsidP="3F4756A7">
      <w:pPr>
        <w:rPr>
          <w:rFonts w:eastAsia="Calibri"/>
        </w:rPr>
      </w:pPr>
    </w:p>
    <w:p w14:paraId="55EA0A7D" w14:textId="4AF56103" w:rsidR="00D40130" w:rsidRPr="00BC0740" w:rsidRDefault="000572C1" w:rsidP="00BC0740">
      <w:pPr>
        <w:rPr>
          <w:rFonts w:eastAsia="Calibri"/>
        </w:rPr>
      </w:pPr>
      <w:hyperlink r:id="rId51" w:history="1">
        <w:r w:rsidRPr="000572C1">
          <w:rPr>
            <w:rStyle w:val="Hyperlink"/>
            <w:rFonts w:eastAsia="Calibri"/>
          </w:rPr>
          <w:t>ACEEE- Building Decarbonized Solutions for Affordable Housing Sector</w:t>
        </w:r>
      </w:hyperlink>
      <w:r w:rsidR="00D40130">
        <w:br/>
      </w:r>
    </w:p>
    <w:p w14:paraId="20429157" w14:textId="3B6CAD4E" w:rsidR="4EECA677" w:rsidRDefault="007544B5" w:rsidP="0DE37728">
      <w:pPr>
        <w:pStyle w:val="ListParagraph"/>
        <w:numPr>
          <w:ilvl w:val="0"/>
          <w:numId w:val="20"/>
        </w:numPr>
        <w:rPr>
          <w:color w:val="0563C1"/>
          <w:u w:val="single"/>
        </w:rPr>
      </w:pPr>
      <w:hyperlink r:id="rId52" w:history="1">
        <w:r w:rsidR="4EECA677" w:rsidRPr="0DE37728">
          <w:rPr>
            <w:rStyle w:val="Hyperlink"/>
          </w:rPr>
          <w:t>Guide for Greener QAPs – International Living Future Institute, June 2020</w:t>
        </w:r>
      </w:hyperlink>
    </w:p>
    <w:p w14:paraId="3A323154" w14:textId="0493B04E" w:rsidR="4EECA677" w:rsidRPr="001D61ED" w:rsidRDefault="4EECA677" w:rsidP="00BC0740">
      <w:pPr>
        <w:pStyle w:val="ListParagraph"/>
        <w:numPr>
          <w:ilvl w:val="1"/>
          <w:numId w:val="20"/>
        </w:numPr>
        <w:rPr>
          <w:color w:val="000000" w:themeColor="text1"/>
        </w:rPr>
      </w:pPr>
      <w:r w:rsidRPr="001D61ED">
        <w:rPr>
          <w:color w:val="000000" w:themeColor="text1"/>
        </w:rPr>
        <w:t xml:space="preserve">Lessons learned on how to work with local HFAs to develop greener qualified allocation plans (QAPs) to fund healthy and sustainable projects. </w:t>
      </w:r>
    </w:p>
    <w:p w14:paraId="02D93BAB" w14:textId="77777777" w:rsidR="00457B2D" w:rsidRDefault="00457B2D" w:rsidP="00BC0740">
      <w:pPr>
        <w:pStyle w:val="ListParagraph"/>
        <w:numPr>
          <w:ilvl w:val="1"/>
          <w:numId w:val="20"/>
        </w:numPr>
        <w:rPr>
          <w:color w:val="0563C1"/>
        </w:rPr>
      </w:pPr>
    </w:p>
    <w:p w14:paraId="50DBC960" w14:textId="2175108B" w:rsidR="4EECA677" w:rsidRDefault="007544B5" w:rsidP="00BC0740">
      <w:pPr>
        <w:pStyle w:val="ListParagraph"/>
        <w:numPr>
          <w:ilvl w:val="0"/>
          <w:numId w:val="20"/>
        </w:numPr>
        <w:rPr>
          <w:color w:val="0563C1"/>
          <w:u w:val="single"/>
        </w:rPr>
      </w:pPr>
      <w:hyperlink r:id="rId53" w:history="1">
        <w:r w:rsidR="4EECA677" w:rsidRPr="0DE37728">
          <w:rPr>
            <w:rStyle w:val="Hyperlink"/>
          </w:rPr>
          <w:t>Leading with Equity and Justice in the Clean Energy Transition: Getting to the Starting Line for Residential Building Electrification – Green &amp; Healthy Homes Initiative, 2021</w:t>
        </w:r>
      </w:hyperlink>
    </w:p>
    <w:p w14:paraId="1E0409B4" w14:textId="46790B9C" w:rsidR="4EECA677" w:rsidRDefault="4EECA677" w:rsidP="00BC0740">
      <w:pPr>
        <w:pStyle w:val="ListParagraph"/>
        <w:numPr>
          <w:ilvl w:val="1"/>
          <w:numId w:val="20"/>
        </w:numPr>
      </w:pPr>
      <w:r w:rsidRPr="0DE37728">
        <w:t xml:space="preserve">Examines historical injustices, up through a case study of the COVID-19 vaccine rollout, within ESJ communities regarding health and wealth. GHHI provides policy and programmatic recommendations for equitable building electrification. </w:t>
      </w:r>
    </w:p>
    <w:p w14:paraId="3400F81B" w14:textId="77777777" w:rsidR="00457B2D" w:rsidRDefault="00457B2D" w:rsidP="001D61ED">
      <w:pPr>
        <w:pStyle w:val="ListParagraph"/>
        <w:ind w:left="1440"/>
      </w:pPr>
    </w:p>
    <w:p w14:paraId="633599E5" w14:textId="6C5E33A9" w:rsidR="4EECA677" w:rsidRDefault="007544B5" w:rsidP="00BC0740">
      <w:pPr>
        <w:pStyle w:val="ListParagraph"/>
        <w:numPr>
          <w:ilvl w:val="0"/>
          <w:numId w:val="20"/>
        </w:numPr>
        <w:rPr>
          <w:color w:val="0563C1"/>
          <w:u w:val="single"/>
        </w:rPr>
      </w:pPr>
      <w:hyperlink r:id="rId54" w:history="1">
        <w:r w:rsidR="4EECA677" w:rsidRPr="0DE37728">
          <w:rPr>
            <w:rStyle w:val="Hyperlink"/>
          </w:rPr>
          <w:t>New York State Disadvantaged Communities Barriers and Opportunities Report – NYSERDA/NYS DEC/NYPA, December 2021</w:t>
        </w:r>
      </w:hyperlink>
    </w:p>
    <w:p w14:paraId="5165C09F" w14:textId="01B6B8C4" w:rsidR="4EECA677" w:rsidRDefault="4EECA677" w:rsidP="00BC0740">
      <w:pPr>
        <w:pStyle w:val="ListParagraph"/>
        <w:numPr>
          <w:ilvl w:val="1"/>
          <w:numId w:val="20"/>
        </w:numPr>
      </w:pPr>
      <w:r w:rsidRPr="0DE37728">
        <w:t>This report provides recommendations for New York State’s Climate Action Council’s Scoping Plan to increase equitable access to clean energy and its benefits. It also examines why this barrier exists in some communities and why those communities also face disproportionate impacts of climate change and air pollution.</w:t>
      </w:r>
    </w:p>
    <w:p w14:paraId="178FD8AD" w14:textId="77777777" w:rsidR="00457B2D" w:rsidRDefault="00457B2D" w:rsidP="001D61ED">
      <w:pPr>
        <w:pStyle w:val="ListParagraph"/>
        <w:ind w:left="1440"/>
      </w:pPr>
    </w:p>
    <w:p w14:paraId="3A2759D0" w14:textId="4D13AF3B" w:rsidR="4EECA677" w:rsidRDefault="007544B5" w:rsidP="00BC0740">
      <w:pPr>
        <w:pStyle w:val="ListParagraph"/>
        <w:numPr>
          <w:ilvl w:val="0"/>
          <w:numId w:val="20"/>
        </w:numPr>
        <w:rPr>
          <w:color w:val="0563C1"/>
          <w:u w:val="single"/>
        </w:rPr>
      </w:pPr>
      <w:hyperlink r:id="rId55" w:history="1">
        <w:r w:rsidR="4EECA677" w:rsidRPr="0DE37728">
          <w:rPr>
            <w:rStyle w:val="Hyperlink"/>
          </w:rPr>
          <w:t>Building Decarbonization Solutions for the Affordable Housing Sector – ACEEE, April 2022</w:t>
        </w:r>
      </w:hyperlink>
    </w:p>
    <w:p w14:paraId="0C819B38" w14:textId="5FE3A01A" w:rsidR="4EECA677" w:rsidRDefault="4EECA677" w:rsidP="00BC0740">
      <w:pPr>
        <w:pStyle w:val="ListParagraph"/>
        <w:numPr>
          <w:ilvl w:val="1"/>
          <w:numId w:val="20"/>
        </w:numPr>
      </w:pPr>
      <w:r w:rsidRPr="0DE37728">
        <w:t>Reducing and preventing inequities and supporting economic development whilst achieving decarbonization objectives, specifically in affordable housing. The research focuses on program and policy approaches for energy efficiency and electrification, with some renewable generation.</w:t>
      </w:r>
    </w:p>
    <w:p w14:paraId="06DE429D" w14:textId="77777777" w:rsidR="00457B2D" w:rsidRDefault="00457B2D" w:rsidP="001D61ED">
      <w:pPr>
        <w:pStyle w:val="ListParagraph"/>
        <w:ind w:left="1440"/>
      </w:pPr>
    </w:p>
    <w:p w14:paraId="3E979D58" w14:textId="31356951" w:rsidR="4EECA677" w:rsidRDefault="007544B5" w:rsidP="00BC0740">
      <w:pPr>
        <w:pStyle w:val="ListParagraph"/>
        <w:numPr>
          <w:ilvl w:val="0"/>
          <w:numId w:val="20"/>
        </w:numPr>
        <w:rPr>
          <w:color w:val="0563C1"/>
          <w:u w:val="single"/>
        </w:rPr>
      </w:pPr>
      <w:hyperlink r:id="rId56" w:history="1">
        <w:r w:rsidR="4EECA677" w:rsidRPr="0DE37728">
          <w:rPr>
            <w:rStyle w:val="Hyperlink"/>
          </w:rPr>
          <w:t>City Playbooks for the Equitable Electrification of Multifamily Buildings—BEI, July 2022</w:t>
        </w:r>
      </w:hyperlink>
    </w:p>
    <w:p w14:paraId="652F33A7" w14:textId="484F756A" w:rsidR="4EECA677" w:rsidRDefault="007544B5" w:rsidP="00BC0740">
      <w:pPr>
        <w:pStyle w:val="ListParagraph"/>
        <w:numPr>
          <w:ilvl w:val="1"/>
          <w:numId w:val="20"/>
        </w:numPr>
        <w:rPr>
          <w:color w:val="0563C1"/>
          <w:u w:val="single"/>
        </w:rPr>
      </w:pPr>
      <w:hyperlink r:id="rId57" w:history="1">
        <w:r w:rsidR="4EECA677" w:rsidRPr="0DE37728">
          <w:rPr>
            <w:rStyle w:val="Hyperlink"/>
          </w:rPr>
          <w:t>Playbook 1: Multifamily Electrification Background and Recommendations</w:t>
        </w:r>
      </w:hyperlink>
    </w:p>
    <w:p w14:paraId="6EC822CF" w14:textId="29862D03" w:rsidR="4EECA677" w:rsidRDefault="4EECA677" w:rsidP="00BC0740">
      <w:pPr>
        <w:pStyle w:val="ListParagraph"/>
        <w:numPr>
          <w:ilvl w:val="2"/>
          <w:numId w:val="20"/>
        </w:numPr>
      </w:pPr>
      <w:r w:rsidRPr="0DE37728">
        <w:lastRenderedPageBreak/>
        <w:t>Explains why the electrification of existing buildings is critical. Provides recommendations for local governments to advance equitable electrification in multifamily buildings.</w:t>
      </w:r>
    </w:p>
    <w:p w14:paraId="305DD7C9" w14:textId="77777777" w:rsidR="00457B2D" w:rsidRDefault="00457B2D" w:rsidP="001D61ED">
      <w:pPr>
        <w:pStyle w:val="ListParagraph"/>
        <w:ind w:left="2160"/>
      </w:pPr>
    </w:p>
    <w:p w14:paraId="407AE03E" w14:textId="3D2B55DE" w:rsidR="4EECA677" w:rsidRDefault="007544B5" w:rsidP="00BC0740">
      <w:pPr>
        <w:pStyle w:val="ListParagraph"/>
        <w:numPr>
          <w:ilvl w:val="1"/>
          <w:numId w:val="20"/>
        </w:numPr>
        <w:rPr>
          <w:color w:val="0563C1"/>
          <w:u w:val="single"/>
        </w:rPr>
      </w:pPr>
      <w:hyperlink r:id="rId58" w:history="1">
        <w:r w:rsidR="4EECA677" w:rsidRPr="0DE37728">
          <w:rPr>
            <w:rStyle w:val="Hyperlink"/>
          </w:rPr>
          <w:t>Playbook 2: Multifamily Electrification Retrofits and Considerations</w:t>
        </w:r>
      </w:hyperlink>
    </w:p>
    <w:p w14:paraId="7E002099" w14:textId="0BD95E98" w:rsidR="4EECA677" w:rsidRDefault="4EECA677" w:rsidP="00BC0740">
      <w:pPr>
        <w:pStyle w:val="ListParagraph"/>
        <w:numPr>
          <w:ilvl w:val="2"/>
          <w:numId w:val="20"/>
        </w:numPr>
      </w:pPr>
      <w:r w:rsidRPr="0DE37728">
        <w:t>Overview for policymakers on technical and equipment upgrades to achieve an all-electric building, categorized into the four MF building typologies: low-rise with furnaces, low-rise with boilers, mid-rise, and high-rise buildings.</w:t>
      </w:r>
    </w:p>
    <w:p w14:paraId="475855A4" w14:textId="7EEF40CA" w:rsidR="4EECA677" w:rsidRDefault="007544B5" w:rsidP="00BC0740">
      <w:pPr>
        <w:pStyle w:val="ListParagraph"/>
        <w:numPr>
          <w:ilvl w:val="1"/>
          <w:numId w:val="20"/>
        </w:numPr>
        <w:rPr>
          <w:color w:val="0563C1"/>
          <w:u w:val="single"/>
        </w:rPr>
      </w:pPr>
      <w:hyperlink r:id="rId59" w:history="1">
        <w:r w:rsidR="4EECA677" w:rsidRPr="0DE37728">
          <w:rPr>
            <w:rStyle w:val="Hyperlink"/>
          </w:rPr>
          <w:t>Playbook 3: Multifamily Guidance for Building Decision-Makers</w:t>
        </w:r>
      </w:hyperlink>
    </w:p>
    <w:p w14:paraId="50E530A9" w14:textId="0DE4E4C9" w:rsidR="4EECA677" w:rsidRDefault="4EECA677" w:rsidP="00BC0740">
      <w:pPr>
        <w:pStyle w:val="ListParagraph"/>
        <w:numPr>
          <w:ilvl w:val="2"/>
          <w:numId w:val="20"/>
        </w:numPr>
      </w:pPr>
      <w:r w:rsidRPr="0DE37728">
        <w:t>Resources explaining the all-electric retrofit process for each of the four MF building typologies and on electrical needs of a building. Also explains how the process will impact tenants and provides recommendations.</w:t>
      </w:r>
    </w:p>
    <w:p w14:paraId="0A1FC140" w14:textId="77777777" w:rsidR="00457B2D" w:rsidRDefault="00457B2D" w:rsidP="001D61ED">
      <w:pPr>
        <w:pStyle w:val="ListParagraph"/>
        <w:ind w:left="2160"/>
      </w:pPr>
    </w:p>
    <w:p w14:paraId="3863F137" w14:textId="6464ABA3" w:rsidR="4EECA677" w:rsidRDefault="007544B5" w:rsidP="00BC0740">
      <w:pPr>
        <w:pStyle w:val="ListParagraph"/>
        <w:numPr>
          <w:ilvl w:val="0"/>
          <w:numId w:val="20"/>
        </w:numPr>
        <w:rPr>
          <w:color w:val="0563C1"/>
          <w:u w:val="single"/>
        </w:rPr>
      </w:pPr>
      <w:hyperlink r:id="rId60" w:history="1">
        <w:r w:rsidR="4EECA677" w:rsidRPr="0DE37728">
          <w:rPr>
            <w:rStyle w:val="Hyperlink"/>
          </w:rPr>
          <w:t>The Building Decarbonization Practice Guide Vol. 3 – William J Worthen Foundation, March 2022</w:t>
        </w:r>
      </w:hyperlink>
    </w:p>
    <w:p w14:paraId="22A472D1" w14:textId="14508049" w:rsidR="4EECA677" w:rsidRDefault="4EECA677" w:rsidP="00BC0740">
      <w:pPr>
        <w:pStyle w:val="ListParagraph"/>
        <w:numPr>
          <w:ilvl w:val="1"/>
          <w:numId w:val="20"/>
        </w:numPr>
      </w:pPr>
      <w:r w:rsidRPr="0DE37728">
        <w:t>A guide to the design process and operational phase of decarbonization projects, including a recommended cost-benefit analysis approach and several short case studies. Primarily addresses low- and mid-rise multifamily housing but applicable to hotels, dormitories, and similar buildings.</w:t>
      </w:r>
    </w:p>
    <w:p w14:paraId="13D3FA52" w14:textId="77777777" w:rsidR="00457B2D" w:rsidRDefault="00457B2D" w:rsidP="001D61ED">
      <w:pPr>
        <w:pStyle w:val="ListParagraph"/>
        <w:ind w:left="1440"/>
      </w:pPr>
    </w:p>
    <w:p w14:paraId="55154AE5" w14:textId="5657C424" w:rsidR="4EECA677" w:rsidRDefault="007544B5" w:rsidP="00BC0740">
      <w:pPr>
        <w:pStyle w:val="ListParagraph"/>
        <w:numPr>
          <w:ilvl w:val="0"/>
          <w:numId w:val="20"/>
        </w:numPr>
        <w:rPr>
          <w:color w:val="0563C1"/>
          <w:u w:val="single"/>
        </w:rPr>
      </w:pPr>
      <w:hyperlink r:id="rId61" w:history="1">
        <w:r w:rsidR="4EECA677" w:rsidRPr="0DE37728">
          <w:rPr>
            <w:rStyle w:val="Hyperlink"/>
          </w:rPr>
          <w:t>The Impact of Fossil Fuels in Buildings: A Fact Base – RMI, December 2019</w:t>
        </w:r>
      </w:hyperlink>
    </w:p>
    <w:p w14:paraId="7FA0E437" w14:textId="24E577F8" w:rsidR="4EECA677" w:rsidRDefault="4EECA677" w:rsidP="00BC0740">
      <w:pPr>
        <w:pStyle w:val="ListParagraph"/>
        <w:numPr>
          <w:ilvl w:val="1"/>
          <w:numId w:val="20"/>
        </w:numPr>
      </w:pPr>
      <w:r w:rsidRPr="0DE37728">
        <w:t>A compendium of charts presenting a landscape of direct building emissions—from where fuel is sourced, to the utilities and infrastructure that deliver gas, to the health implications.</w:t>
      </w:r>
    </w:p>
    <w:p w14:paraId="00E03FFA" w14:textId="77777777" w:rsidR="00457B2D" w:rsidRDefault="00457B2D" w:rsidP="001D61ED">
      <w:pPr>
        <w:pStyle w:val="ListParagraph"/>
        <w:ind w:left="1440"/>
      </w:pPr>
    </w:p>
    <w:p w14:paraId="1C05534A" w14:textId="7902FB07" w:rsidR="4EECA677" w:rsidRDefault="007544B5" w:rsidP="00BC0740">
      <w:pPr>
        <w:pStyle w:val="ListParagraph"/>
        <w:numPr>
          <w:ilvl w:val="0"/>
          <w:numId w:val="20"/>
        </w:numPr>
        <w:rPr>
          <w:color w:val="0563C1"/>
          <w:u w:val="single"/>
        </w:rPr>
      </w:pPr>
      <w:hyperlink r:id="rId62" w:history="1">
        <w:r w:rsidR="4EECA677" w:rsidRPr="0DE37728">
          <w:rPr>
            <w:rStyle w:val="Hyperlink"/>
          </w:rPr>
          <w:t>Underwriting Efficiency – Community Preservation Corporation, May 2017</w:t>
        </w:r>
      </w:hyperlink>
    </w:p>
    <w:p w14:paraId="65436A3A" w14:textId="78C014B8" w:rsidR="4EECA677" w:rsidRDefault="4EECA677" w:rsidP="00BC0740">
      <w:pPr>
        <w:pStyle w:val="ListParagraph"/>
        <w:numPr>
          <w:ilvl w:val="1"/>
          <w:numId w:val="20"/>
        </w:numPr>
      </w:pPr>
      <w:r w:rsidRPr="0DE37728">
        <w:t>“This handbook provides professionals involved in the origination, underwriting, closing, and servicing of multifamily mortgages the information and tools necessary to finance energy and water efficiency measures as part of a first mortgage.”</w:t>
      </w:r>
    </w:p>
    <w:p w14:paraId="34B52CD6" w14:textId="77777777" w:rsidR="00457B2D" w:rsidRDefault="00457B2D" w:rsidP="001D61ED">
      <w:pPr>
        <w:pStyle w:val="ListParagraph"/>
        <w:ind w:left="1440"/>
      </w:pPr>
    </w:p>
    <w:p w14:paraId="7E01AADA" w14:textId="4F8A1C89" w:rsidR="4EECA677" w:rsidRDefault="007544B5" w:rsidP="00BC0740">
      <w:pPr>
        <w:pStyle w:val="ListParagraph"/>
        <w:numPr>
          <w:ilvl w:val="0"/>
          <w:numId w:val="20"/>
        </w:numPr>
        <w:rPr>
          <w:color w:val="0563C1"/>
          <w:u w:val="single"/>
        </w:rPr>
      </w:pPr>
      <w:hyperlink r:id="rId63" w:history="1">
        <w:r w:rsidR="4EECA677" w:rsidRPr="0DE37728">
          <w:rPr>
            <w:rStyle w:val="Hyperlink"/>
          </w:rPr>
          <w:t>LA Building Decarbonization: Tenant Impact and Recommendations – Strategic Actions for a Just Economy (SAJE), December 2021</w:t>
        </w:r>
      </w:hyperlink>
    </w:p>
    <w:p w14:paraId="657775C7" w14:textId="646B7416" w:rsidR="4EECA677" w:rsidRDefault="4EECA677" w:rsidP="00BC0740">
      <w:pPr>
        <w:pStyle w:val="ListParagraph"/>
        <w:numPr>
          <w:ilvl w:val="1"/>
          <w:numId w:val="20"/>
        </w:numPr>
      </w:pPr>
      <w:r w:rsidRPr="0DE37728">
        <w:t xml:space="preserve">Draws out the negative impacts of decarbonization on marginalized tenants under current laws and makes policy recommendations to protect tenants from cost burdens and instead expand affordability. </w:t>
      </w:r>
    </w:p>
    <w:p w14:paraId="00F42C37" w14:textId="77777777" w:rsidR="00457B2D" w:rsidRDefault="00457B2D" w:rsidP="001D61ED">
      <w:pPr>
        <w:pStyle w:val="ListParagraph"/>
        <w:ind w:left="1440"/>
      </w:pPr>
    </w:p>
    <w:p w14:paraId="717E77F9" w14:textId="3352B4C4" w:rsidR="4EECA677" w:rsidRDefault="007544B5" w:rsidP="00BC0740">
      <w:pPr>
        <w:pStyle w:val="ListParagraph"/>
        <w:numPr>
          <w:ilvl w:val="0"/>
          <w:numId w:val="20"/>
        </w:numPr>
        <w:rPr>
          <w:color w:val="0563C1"/>
          <w:u w:val="single"/>
        </w:rPr>
      </w:pPr>
      <w:hyperlink r:id="rId64" w:history="1">
        <w:r w:rsidR="4EECA677" w:rsidRPr="0DE37728">
          <w:rPr>
            <w:rStyle w:val="Hyperlink"/>
          </w:rPr>
          <w:t>Sustainable Affordable Housing: Strategies for Financing an Inclusive Energy Transition – NY Fed, October 2022</w:t>
        </w:r>
      </w:hyperlink>
    </w:p>
    <w:p w14:paraId="23C6543E" w14:textId="5FEA7CA9" w:rsidR="02E88350" w:rsidRPr="00903FBB" w:rsidRDefault="4EECA677" w:rsidP="00BC0740">
      <w:pPr>
        <w:pStyle w:val="ListParagraph"/>
        <w:numPr>
          <w:ilvl w:val="1"/>
          <w:numId w:val="20"/>
        </w:numPr>
      </w:pPr>
      <w:r w:rsidRPr="0DE37728">
        <w:t xml:space="preserve">Recommendations from housing and finance working group, hosted by the Federal Reserve Bank of New York, on making compliance with the CLCPA and Local Law 97 easier and more affordable based on analysis of decarbonization </w:t>
      </w:r>
      <w:r w:rsidRPr="0DE37728">
        <w:lastRenderedPageBreak/>
        <w:t>programs serving affordable housing markets. Focus on early adoption strategies and developing financial tools for all to take part in the transition towards decarbonization.</w:t>
      </w:r>
    </w:p>
    <w:sectPr w:rsidR="02E88350" w:rsidRPr="00903FBB">
      <w:headerReference w:type="default" r:id="rId65"/>
      <w:footerReference w:type="default" r:id="rId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0CA60" w14:textId="77777777" w:rsidR="00D339D2" w:rsidRDefault="00D339D2" w:rsidP="00475BD8">
      <w:r>
        <w:separator/>
      </w:r>
    </w:p>
  </w:endnote>
  <w:endnote w:type="continuationSeparator" w:id="0">
    <w:p w14:paraId="5660FA06" w14:textId="77777777" w:rsidR="00D339D2" w:rsidRDefault="00D339D2" w:rsidP="00475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0627105"/>
      <w:docPartObj>
        <w:docPartGallery w:val="Page Numbers (Bottom of Page)"/>
        <w:docPartUnique/>
      </w:docPartObj>
    </w:sdtPr>
    <w:sdtEndPr>
      <w:rPr>
        <w:noProof/>
        <w:sz w:val="20"/>
        <w:szCs w:val="20"/>
      </w:rPr>
    </w:sdtEndPr>
    <w:sdtContent>
      <w:p w14:paraId="1FAFA029" w14:textId="1705AA6A" w:rsidR="006B0F3F" w:rsidRPr="006B0F3F" w:rsidRDefault="006B0F3F">
        <w:pPr>
          <w:pStyle w:val="Footer"/>
          <w:jc w:val="right"/>
          <w:rPr>
            <w:sz w:val="20"/>
            <w:szCs w:val="20"/>
          </w:rPr>
        </w:pPr>
        <w:r w:rsidRPr="4A1A8BF6">
          <w:rPr>
            <w:noProof/>
            <w:sz w:val="20"/>
            <w:szCs w:val="20"/>
          </w:rPr>
          <w:fldChar w:fldCharType="begin"/>
        </w:r>
        <w:r w:rsidRPr="4A1A8BF6">
          <w:rPr>
            <w:sz w:val="20"/>
            <w:szCs w:val="20"/>
          </w:rPr>
          <w:instrText xml:space="preserve"> PAGE   \* MERGEFORMAT </w:instrText>
        </w:r>
        <w:r w:rsidRPr="4A1A8BF6">
          <w:rPr>
            <w:sz w:val="20"/>
            <w:szCs w:val="20"/>
          </w:rPr>
          <w:fldChar w:fldCharType="separate"/>
        </w:r>
        <w:r w:rsidR="4A1A8BF6" w:rsidRPr="4A1A8BF6">
          <w:rPr>
            <w:noProof/>
            <w:sz w:val="20"/>
            <w:szCs w:val="20"/>
          </w:rPr>
          <w:t>2</w:t>
        </w:r>
        <w:r w:rsidRPr="4A1A8BF6">
          <w:rPr>
            <w:noProof/>
            <w:sz w:val="20"/>
            <w:szCs w:val="20"/>
          </w:rPr>
          <w:fldChar w:fldCharType="end"/>
        </w:r>
      </w:p>
    </w:sdtContent>
  </w:sdt>
  <w:p w14:paraId="482C243E" w14:textId="77777777" w:rsidR="006B0F3F" w:rsidRDefault="006B0F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E5178" w14:textId="77777777" w:rsidR="00D339D2" w:rsidRDefault="00D339D2" w:rsidP="00475BD8">
      <w:r>
        <w:separator/>
      </w:r>
    </w:p>
  </w:footnote>
  <w:footnote w:type="continuationSeparator" w:id="0">
    <w:p w14:paraId="026828A0" w14:textId="77777777" w:rsidR="00D339D2" w:rsidRDefault="00D339D2" w:rsidP="00475BD8">
      <w:r>
        <w:continuationSeparator/>
      </w:r>
    </w:p>
  </w:footnote>
  <w:footnote w:id="1">
    <w:p w14:paraId="3CBB1FBC" w14:textId="2169392C" w:rsidR="3F4756A7" w:rsidRPr="0009310C" w:rsidRDefault="3F4756A7">
      <w:pPr>
        <w:rPr>
          <w:rFonts w:cstheme="minorHAnsi"/>
          <w:sz w:val="18"/>
          <w:szCs w:val="18"/>
        </w:rPr>
      </w:pPr>
      <w:r w:rsidRPr="0009310C">
        <w:rPr>
          <w:rStyle w:val="FootnoteReference"/>
          <w:rFonts w:cstheme="minorHAnsi"/>
          <w:sz w:val="18"/>
          <w:szCs w:val="18"/>
        </w:rPr>
        <w:footnoteRef/>
      </w:r>
      <w:r w:rsidRPr="0009310C">
        <w:rPr>
          <w:rFonts w:cstheme="minorHAnsi"/>
          <w:sz w:val="18"/>
          <w:szCs w:val="18"/>
        </w:rPr>
        <w:t xml:space="preserve"> </w:t>
      </w:r>
      <w:r w:rsidR="001F13F0">
        <w:rPr>
          <w:rFonts w:cstheme="minorHAnsi"/>
          <w:sz w:val="18"/>
          <w:szCs w:val="18"/>
        </w:rPr>
        <w:t xml:space="preserve">(a) </w:t>
      </w:r>
      <w:r w:rsidRPr="0009310C">
        <w:rPr>
          <w:rFonts w:eastAsia="Segoe UI" w:cstheme="minorHAnsi"/>
          <w:color w:val="333333"/>
          <w:sz w:val="18"/>
          <w:szCs w:val="18"/>
        </w:rPr>
        <w:t>According to U.S. Energy Information Administration 2015 residential energy consumption and expenditures report, apartments with 5 or more units consumed ~724 trillion Btu total.</w:t>
      </w:r>
      <w:r w:rsidR="001F13F0">
        <w:rPr>
          <w:rFonts w:eastAsia="Segoe UI" w:cstheme="minorHAnsi"/>
          <w:color w:val="333333"/>
          <w:sz w:val="18"/>
          <w:szCs w:val="18"/>
        </w:rPr>
        <w:t xml:space="preserve"> </w:t>
      </w:r>
      <w:hyperlink r:id="rId1" w:history="1">
        <w:r w:rsidR="001F13F0" w:rsidRPr="001D2F04">
          <w:rPr>
            <w:rStyle w:val="Hyperlink"/>
            <w:rFonts w:eastAsia="Segoe UI" w:cstheme="minorHAnsi"/>
            <w:sz w:val="18"/>
            <w:szCs w:val="18"/>
          </w:rPr>
          <w:t>https://www.eia.gov/consumption/residential/data/2015/c&amp;e/pdf/ce1.1.pdf</w:t>
        </w:r>
      </w:hyperlink>
      <w:r w:rsidR="001F13F0">
        <w:rPr>
          <w:rFonts w:cstheme="minorHAnsi"/>
          <w:sz w:val="18"/>
          <w:szCs w:val="18"/>
        </w:rPr>
        <w:t xml:space="preserve">. </w:t>
      </w:r>
      <w:r w:rsidRPr="0009310C">
        <w:rPr>
          <w:rFonts w:eastAsia="Segoe UI" w:cstheme="minorHAnsi"/>
          <w:color w:val="333333"/>
          <w:sz w:val="18"/>
          <w:szCs w:val="18"/>
        </w:rPr>
        <w:t xml:space="preserve">724 </w:t>
      </w:r>
      <w:proofErr w:type="spellStart"/>
      <w:r w:rsidRPr="0009310C">
        <w:rPr>
          <w:rFonts w:eastAsia="Segoe UI" w:cstheme="minorHAnsi"/>
          <w:color w:val="333333"/>
          <w:sz w:val="18"/>
          <w:szCs w:val="18"/>
        </w:rPr>
        <w:t>tril</w:t>
      </w:r>
      <w:proofErr w:type="spellEnd"/>
      <w:r w:rsidRPr="0009310C">
        <w:rPr>
          <w:rFonts w:eastAsia="Segoe UI" w:cstheme="minorHAnsi"/>
          <w:color w:val="333333"/>
          <w:sz w:val="18"/>
          <w:szCs w:val="18"/>
        </w:rPr>
        <w:t xml:space="preserve"> btu converts 212183454804.688904 kwh</w:t>
      </w:r>
    </w:p>
    <w:p w14:paraId="0C368337" w14:textId="0F65F44B" w:rsidR="3F4756A7" w:rsidRPr="0009310C" w:rsidRDefault="3F4756A7" w:rsidP="3F4756A7">
      <w:pPr>
        <w:rPr>
          <w:rFonts w:eastAsia="Segoe UI" w:cstheme="minorHAnsi"/>
          <w:color w:val="333333"/>
          <w:sz w:val="18"/>
          <w:szCs w:val="18"/>
        </w:rPr>
      </w:pPr>
    </w:p>
    <w:p w14:paraId="19003D84" w14:textId="727CF42C" w:rsidR="3F4756A7" w:rsidRPr="0009310C" w:rsidRDefault="001F13F0">
      <w:pPr>
        <w:rPr>
          <w:rFonts w:cstheme="minorHAnsi"/>
          <w:sz w:val="18"/>
          <w:szCs w:val="18"/>
        </w:rPr>
      </w:pPr>
      <w:r>
        <w:rPr>
          <w:rFonts w:eastAsia="Segoe UI" w:cstheme="minorHAnsi"/>
          <w:color w:val="333333"/>
          <w:sz w:val="18"/>
          <w:szCs w:val="18"/>
        </w:rPr>
        <w:t>(b) U</w:t>
      </w:r>
      <w:r w:rsidR="3F4756A7" w:rsidRPr="0009310C">
        <w:rPr>
          <w:rFonts w:eastAsia="Segoe UI" w:cstheme="minorHAnsi"/>
          <w:color w:val="333333"/>
          <w:sz w:val="18"/>
          <w:szCs w:val="18"/>
        </w:rPr>
        <w:t xml:space="preserve">sing </w:t>
      </w:r>
      <w:proofErr w:type="spellStart"/>
      <w:r w:rsidR="3F4756A7" w:rsidRPr="0009310C">
        <w:rPr>
          <w:rFonts w:eastAsia="Segoe UI" w:cstheme="minorHAnsi"/>
          <w:color w:val="333333"/>
          <w:sz w:val="18"/>
          <w:szCs w:val="18"/>
        </w:rPr>
        <w:t>epa's</w:t>
      </w:r>
      <w:proofErr w:type="spellEnd"/>
      <w:r w:rsidR="3F4756A7" w:rsidRPr="0009310C">
        <w:rPr>
          <w:rFonts w:eastAsia="Segoe UI" w:cstheme="minorHAnsi"/>
          <w:color w:val="333333"/>
          <w:sz w:val="18"/>
          <w:szCs w:val="18"/>
        </w:rPr>
        <w:t xml:space="preserve"> </w:t>
      </w:r>
      <w:proofErr w:type="spellStart"/>
      <w:r w:rsidR="3F4756A7" w:rsidRPr="0009310C">
        <w:rPr>
          <w:rFonts w:eastAsia="Segoe UI" w:cstheme="minorHAnsi"/>
          <w:color w:val="333333"/>
          <w:sz w:val="18"/>
          <w:szCs w:val="18"/>
        </w:rPr>
        <w:t>ghg</w:t>
      </w:r>
      <w:proofErr w:type="spellEnd"/>
      <w:r w:rsidR="3F4756A7" w:rsidRPr="0009310C">
        <w:rPr>
          <w:rFonts w:eastAsia="Segoe UI" w:cstheme="minorHAnsi"/>
          <w:color w:val="333333"/>
          <w:sz w:val="18"/>
          <w:szCs w:val="18"/>
        </w:rPr>
        <w:t xml:space="preserve"> calculator </w:t>
      </w:r>
      <w:hyperlink r:id="rId2" w:anchor="results">
        <w:r w:rsidR="3F4756A7" w:rsidRPr="0009310C">
          <w:rPr>
            <w:rStyle w:val="Hyperlink"/>
            <w:rFonts w:eastAsia="Segoe UI" w:cstheme="minorHAnsi"/>
            <w:sz w:val="18"/>
            <w:szCs w:val="18"/>
          </w:rPr>
          <w:t>https://www.epa.gov/energy/greenhouse-gas-equivalencies-calculator#results</w:t>
        </w:r>
      </w:hyperlink>
      <w:r w:rsidR="3F4756A7" w:rsidRPr="0009310C">
        <w:rPr>
          <w:rFonts w:eastAsia="Segoe UI" w:cstheme="minorHAnsi"/>
          <w:color w:val="333333"/>
          <w:sz w:val="18"/>
          <w:szCs w:val="18"/>
        </w:rPr>
        <w:t xml:space="preserve"> that converts to 91,789,354 metric tons of CO2</w:t>
      </w:r>
    </w:p>
    <w:p w14:paraId="1DAF736C" w14:textId="1678D669" w:rsidR="3F4756A7" w:rsidRPr="0009310C" w:rsidRDefault="3F4756A7">
      <w:pPr>
        <w:rPr>
          <w:rFonts w:cstheme="minorHAnsi"/>
          <w:sz w:val="18"/>
          <w:szCs w:val="18"/>
        </w:rPr>
      </w:pPr>
      <w:r w:rsidRPr="0009310C">
        <w:rPr>
          <w:rFonts w:cstheme="minorHAnsi"/>
          <w:sz w:val="18"/>
          <w:szCs w:val="18"/>
        </w:rPr>
        <w:br/>
      </w:r>
      <w:r w:rsidR="001F13F0">
        <w:rPr>
          <w:rFonts w:eastAsia="Segoe UI" w:cstheme="minorHAnsi"/>
          <w:color w:val="333333"/>
          <w:sz w:val="18"/>
          <w:szCs w:val="18"/>
        </w:rPr>
        <w:t xml:space="preserve">(c) </w:t>
      </w:r>
      <w:r w:rsidRPr="0009310C">
        <w:rPr>
          <w:rFonts w:eastAsia="Segoe UI" w:cstheme="minorHAnsi"/>
          <w:color w:val="333333"/>
          <w:sz w:val="18"/>
          <w:szCs w:val="18"/>
        </w:rPr>
        <w:t xml:space="preserve">EPA's 2015 GHG inventory calculated 6,586,000,000 metric tons of CO2e </w:t>
      </w:r>
      <w:hyperlink r:id="rId3" w:anchor="results">
        <w:r w:rsidRPr="0009310C">
          <w:rPr>
            <w:rStyle w:val="Hyperlink"/>
            <w:rFonts w:eastAsia="Segoe UI" w:cstheme="minorHAnsi"/>
            <w:sz w:val="18"/>
            <w:szCs w:val="18"/>
          </w:rPr>
          <w:t>https://www.epa.gov/energy/greenhouse-gas-equivalencies-calculator#results</w:t>
        </w:r>
      </w:hyperlink>
      <w:r w:rsidR="001F13F0">
        <w:rPr>
          <w:rStyle w:val="Hyperlink"/>
          <w:rFonts w:eastAsia="Segoe UI" w:cstheme="minorHAnsi"/>
          <w:sz w:val="18"/>
          <w:szCs w:val="18"/>
        </w:rPr>
        <w:t>.</w:t>
      </w:r>
      <w:r w:rsidRPr="0009310C">
        <w:rPr>
          <w:rFonts w:eastAsia="Segoe UI" w:cstheme="minorHAnsi"/>
          <w:color w:val="333333"/>
          <w:sz w:val="18"/>
          <w:szCs w:val="18"/>
        </w:rPr>
        <w:t xml:space="preserve"> 91789354/6586000000= 13.9%</w:t>
      </w:r>
    </w:p>
    <w:p w14:paraId="66B7E3BB" w14:textId="568B6CFE" w:rsidR="3F4756A7" w:rsidRPr="0009310C" w:rsidRDefault="3F4756A7" w:rsidP="3F4756A7">
      <w:pPr>
        <w:pStyle w:val="FootnoteText"/>
        <w:rPr>
          <w:rFonts w:cstheme="minorHAnsi"/>
          <w:sz w:val="18"/>
          <w:szCs w:val="18"/>
        </w:rPr>
      </w:pPr>
    </w:p>
  </w:footnote>
  <w:footnote w:id="2">
    <w:p w14:paraId="20E5AA64" w14:textId="4FF444AA" w:rsidR="00486BBF" w:rsidRPr="0009310C" w:rsidRDefault="00486BBF" w:rsidP="00BC07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000000"/>
          <w:sz w:val="18"/>
          <w:szCs w:val="18"/>
        </w:rPr>
      </w:pPr>
      <w:r w:rsidRPr="0009310C">
        <w:rPr>
          <w:rStyle w:val="FootnoteReference"/>
          <w:rFonts w:cstheme="minorHAnsi"/>
          <w:sz w:val="18"/>
          <w:szCs w:val="18"/>
        </w:rPr>
        <w:footnoteRef/>
      </w:r>
      <w:r w:rsidRPr="0009310C">
        <w:rPr>
          <w:rFonts w:cstheme="minorHAnsi"/>
          <w:sz w:val="18"/>
          <w:szCs w:val="18"/>
        </w:rPr>
        <w:t xml:space="preserve"> For instance, tangible benefits could include </w:t>
      </w:r>
      <w:r w:rsidRPr="0009310C">
        <w:rPr>
          <w:rFonts w:cstheme="minorHAnsi"/>
          <w:color w:val="000000"/>
          <w:sz w:val="18"/>
          <w:szCs w:val="18"/>
        </w:rPr>
        <w:t xml:space="preserve">1) The opportunity to add cooling as a health and climate resilience strategy; 2) The opportunity to improve indoor air quality and health, particularly for those living in neighborhoods and buildings with the worst current health outcomes (largely as a result of racist policies like redlining); (3) </w:t>
      </w:r>
      <w:r w:rsidRPr="0009310C">
        <w:rPr>
          <w:rFonts w:cstheme="minorHAnsi"/>
          <w:sz w:val="18"/>
          <w:szCs w:val="18"/>
        </w:rPr>
        <w:t>scaling deployment of electric heat pumps can bring air-conditioning to millions of people, a life-saving measure as global warming continues to intensify summer heat</w:t>
      </w:r>
      <w:r w:rsidR="00C46D17" w:rsidRPr="0009310C">
        <w:rPr>
          <w:rFonts w:cstheme="minorHAnsi"/>
          <w:sz w:val="18"/>
          <w:szCs w:val="18"/>
        </w:rPr>
        <w:t>.</w:t>
      </w:r>
    </w:p>
  </w:footnote>
  <w:footnote w:id="3">
    <w:p w14:paraId="0D669180" w14:textId="1E837F4B" w:rsidR="00D253B4" w:rsidRPr="0009310C" w:rsidRDefault="00D253B4">
      <w:pPr>
        <w:pStyle w:val="FootnoteText"/>
        <w:rPr>
          <w:rFonts w:cstheme="minorHAnsi"/>
          <w:sz w:val="18"/>
          <w:szCs w:val="18"/>
        </w:rPr>
      </w:pPr>
      <w:r w:rsidRPr="0009310C">
        <w:rPr>
          <w:rStyle w:val="FootnoteReference"/>
          <w:rFonts w:cstheme="minorHAnsi"/>
          <w:sz w:val="18"/>
          <w:szCs w:val="18"/>
        </w:rPr>
        <w:footnoteRef/>
      </w:r>
      <w:r w:rsidRPr="0009310C">
        <w:rPr>
          <w:rFonts w:cstheme="minorHAnsi"/>
          <w:sz w:val="18"/>
          <w:szCs w:val="18"/>
        </w:rPr>
        <w:t xml:space="preserve"> The discussion below includes estimates of market size for certain multifamily “types,” however it is important to point out that one building may fall into multiple categories below (e.g. a building could both be NOAH and have a Fannie Mae supported mortgage).</w:t>
      </w:r>
    </w:p>
  </w:footnote>
  <w:footnote w:id="4">
    <w:p w14:paraId="28D79024" w14:textId="1B439B98" w:rsidR="4A1A8BF6" w:rsidRDefault="4A1A8BF6" w:rsidP="4A1A8BF6">
      <w:pPr>
        <w:pStyle w:val="FootnoteText"/>
        <w:rPr>
          <w:sz w:val="18"/>
          <w:szCs w:val="18"/>
        </w:rPr>
      </w:pPr>
      <w:r w:rsidRPr="4A1A8BF6">
        <w:rPr>
          <w:rStyle w:val="FootnoteReference"/>
        </w:rPr>
        <w:footnoteRef/>
      </w:r>
      <w:r>
        <w:t xml:space="preserve"> </w:t>
      </w:r>
      <w:r w:rsidRPr="4A1A8BF6">
        <w:rPr>
          <w:sz w:val="18"/>
          <w:szCs w:val="18"/>
        </w:rPr>
        <w:t xml:space="preserve">For an overview of the LIHTC program, see UC Berkeley’s Turner Center paper here: </w:t>
      </w:r>
      <w:hyperlink r:id="rId4">
        <w:r w:rsidRPr="4A1A8BF6">
          <w:rPr>
            <w:rStyle w:val="Hyperlink"/>
            <w:sz w:val="18"/>
            <w:szCs w:val="18"/>
          </w:rPr>
          <w:t>https://ternercenter.berkeley.edu/wp-content/uploads/2021/04/LIHTC-Complexity-Final.pdf</w:t>
        </w:r>
      </w:hyperlink>
    </w:p>
  </w:footnote>
  <w:footnote w:id="5">
    <w:p w14:paraId="6FAE4019" w14:textId="5D27023E" w:rsidR="006E580D" w:rsidRPr="0009310C" w:rsidRDefault="006E580D">
      <w:pPr>
        <w:pStyle w:val="FootnoteText"/>
        <w:rPr>
          <w:sz w:val="18"/>
          <w:szCs w:val="18"/>
        </w:rPr>
      </w:pPr>
      <w:r w:rsidRPr="0009310C">
        <w:rPr>
          <w:rStyle w:val="FootnoteReference"/>
          <w:sz w:val="18"/>
          <w:szCs w:val="18"/>
        </w:rPr>
        <w:footnoteRef/>
      </w:r>
      <w:r w:rsidRPr="0009310C">
        <w:rPr>
          <w:sz w:val="18"/>
          <w:szCs w:val="18"/>
        </w:rPr>
        <w:t xml:space="preserve"> See Building Electrification Institute’s work key considerations and approaches for equitable BPS adoption: </w:t>
      </w:r>
      <w:hyperlink r:id="rId5" w:history="1">
        <w:r w:rsidRPr="0009310C">
          <w:rPr>
            <w:rStyle w:val="Hyperlink"/>
            <w:sz w:val="18"/>
            <w:szCs w:val="18"/>
          </w:rPr>
          <w:t>https://static1.squarespace.com/static/5b6a482db27e39e8fcf65bbf/t/62dee651086dc41b0aae71d4/1658775123616/BEI_Equitable+Building+Performance+Standards_July+2022.pdf</w:t>
        </w:r>
      </w:hyperlink>
      <w:r w:rsidRPr="0009310C">
        <w:rPr>
          <w:sz w:val="18"/>
          <w:szCs w:val="18"/>
        </w:rPr>
        <w:t xml:space="preserve"> </w:t>
      </w:r>
    </w:p>
  </w:footnote>
  <w:footnote w:id="6">
    <w:p w14:paraId="6FF58CA4" w14:textId="24DD556D" w:rsidR="00A37F5C" w:rsidRPr="0009310C" w:rsidRDefault="00A37F5C">
      <w:pPr>
        <w:pStyle w:val="FootnoteText"/>
        <w:rPr>
          <w:rFonts w:cstheme="minorHAnsi"/>
          <w:sz w:val="18"/>
          <w:szCs w:val="18"/>
        </w:rPr>
      </w:pPr>
      <w:r w:rsidRPr="0009310C">
        <w:rPr>
          <w:rStyle w:val="FootnoteReference"/>
          <w:rFonts w:cstheme="minorHAnsi"/>
          <w:sz w:val="18"/>
          <w:szCs w:val="18"/>
        </w:rPr>
        <w:footnoteRef/>
      </w:r>
      <w:r w:rsidRPr="0009310C">
        <w:rPr>
          <w:rFonts w:cstheme="minorHAnsi"/>
          <w:sz w:val="18"/>
          <w:szCs w:val="18"/>
        </w:rPr>
        <w:t xml:space="preserve"> </w:t>
      </w:r>
      <w:r w:rsidRPr="0009310C">
        <w:rPr>
          <w:rFonts w:cstheme="minorHAnsi"/>
          <w:color w:val="000000"/>
          <w:sz w:val="18"/>
          <w:szCs w:val="18"/>
        </w:rPr>
        <w:t xml:space="preserve">For a more in-depth look at some of these different policies and regulations, see Building Electrification Institute’s analysis here: </w:t>
      </w:r>
      <w:hyperlink r:id="rId6" w:history="1">
        <w:r w:rsidRPr="0009310C">
          <w:rPr>
            <w:rStyle w:val="Hyperlink"/>
            <w:rFonts w:cstheme="minorHAnsi"/>
            <w:sz w:val="18"/>
            <w:szCs w:val="18"/>
          </w:rPr>
          <w:t>https://static1.squarespace.com/static/5b6a482db27e39e8fcf65bbf/t/630e3d507db0cb4bd5a61849/1661877586266/BEI-Burlington_Existing+Buildings+Policy+Review_July+2022_Final.pdf</w:t>
        </w:r>
      </w:hyperlink>
      <w:r w:rsidRPr="0009310C">
        <w:rPr>
          <w:rFonts w:cstheme="minorHAnsi"/>
          <w:color w:val="000000"/>
          <w:sz w:val="18"/>
          <w:szCs w:val="18"/>
        </w:rPr>
        <w:t xml:space="preserve"> </w:t>
      </w:r>
    </w:p>
  </w:footnote>
  <w:footnote w:id="7">
    <w:p w14:paraId="05114346" w14:textId="473DFCBD" w:rsidR="003C0CFE" w:rsidRPr="0009310C" w:rsidRDefault="003C0CFE">
      <w:pPr>
        <w:pStyle w:val="FootnoteText"/>
        <w:rPr>
          <w:rFonts w:cstheme="minorHAnsi"/>
          <w:sz w:val="18"/>
          <w:szCs w:val="18"/>
        </w:rPr>
      </w:pPr>
      <w:r w:rsidRPr="0009310C">
        <w:rPr>
          <w:rStyle w:val="FootnoteReference"/>
          <w:rFonts w:cstheme="minorHAnsi"/>
          <w:sz w:val="18"/>
          <w:szCs w:val="18"/>
        </w:rPr>
        <w:footnoteRef/>
      </w:r>
      <w:r w:rsidRPr="0009310C">
        <w:rPr>
          <w:rFonts w:cstheme="minorHAnsi"/>
          <w:sz w:val="18"/>
          <w:szCs w:val="18"/>
        </w:rPr>
        <w:t xml:space="preserve"> See, for instance, Building Electrification Institute’s analyses for DC, Salt Lake City, and Burlington (</w:t>
      </w:r>
      <w:hyperlink r:id="rId7" w:history="1">
        <w:r w:rsidRPr="0009310C">
          <w:rPr>
            <w:rStyle w:val="Hyperlink"/>
            <w:rFonts w:cstheme="minorHAnsi"/>
            <w:sz w:val="18"/>
            <w:szCs w:val="18"/>
          </w:rPr>
          <w:t>https://www.beicities.org/city-resources</w:t>
        </w:r>
      </w:hyperlink>
      <w:r w:rsidRPr="0009310C">
        <w:rPr>
          <w:rFonts w:cstheme="minorHAnsi"/>
          <w:sz w:val="18"/>
          <w:szCs w:val="18"/>
        </w:rPr>
        <w:t xml:space="preserve">), as well as </w:t>
      </w:r>
      <w:proofErr w:type="spellStart"/>
      <w:r w:rsidRPr="0009310C">
        <w:rPr>
          <w:rFonts w:cstheme="minorHAnsi"/>
          <w:sz w:val="18"/>
          <w:szCs w:val="18"/>
        </w:rPr>
        <w:t>Energy+Environmental</w:t>
      </w:r>
      <w:proofErr w:type="spellEnd"/>
      <w:r w:rsidRPr="0009310C">
        <w:rPr>
          <w:rFonts w:cstheme="minorHAnsi"/>
          <w:sz w:val="18"/>
          <w:szCs w:val="18"/>
        </w:rPr>
        <w:t xml:space="preserve"> Economics’ analysis across all of Utah’s climate zones (</w:t>
      </w:r>
      <w:hyperlink r:id="rId8" w:history="1">
        <w:r w:rsidRPr="0009310C">
          <w:rPr>
            <w:rStyle w:val="Hyperlink"/>
            <w:rFonts w:cstheme="minorHAnsi"/>
            <w:sz w:val="18"/>
            <w:szCs w:val="18"/>
          </w:rPr>
          <w:t>https://www.ethree.com/economics-of-all-electric-new-construction-in-utah/</w:t>
        </w:r>
      </w:hyperlink>
      <w:r w:rsidRPr="0009310C">
        <w:rPr>
          <w:rFonts w:cstheme="minorHAnsi"/>
          <w:sz w:val="18"/>
          <w:szCs w:val="18"/>
        </w:rPr>
        <w:t>)</w:t>
      </w:r>
      <w:r w:rsidR="002637B8" w:rsidRPr="0009310C">
        <w:rPr>
          <w:rFonts w:cstheme="minorHAnsi"/>
          <w:sz w:val="18"/>
          <w:szCs w:val="18"/>
        </w:rPr>
        <w:t>.</w:t>
      </w:r>
    </w:p>
  </w:footnote>
  <w:footnote w:id="8">
    <w:p w14:paraId="2E2A1FC5" w14:textId="21EC8DF6" w:rsidR="006F5ADF" w:rsidRDefault="006F5ADF">
      <w:pPr>
        <w:pStyle w:val="FootnoteText"/>
      </w:pPr>
      <w:r>
        <w:rPr>
          <w:rStyle w:val="FootnoteReference"/>
        </w:rPr>
        <w:footnoteRef/>
      </w:r>
      <w:r>
        <w:t xml:space="preserve"> See ACEEE’s State Energy Efficiency Scorecard for mapping of relevant programs: </w:t>
      </w:r>
      <w:hyperlink r:id="rId9" w:history="1">
        <w:r w:rsidRPr="00CB0386">
          <w:rPr>
            <w:rStyle w:val="Hyperlink"/>
          </w:rPr>
          <w:t>https://www.aceee.org/research-report/u2011</w:t>
        </w:r>
      </w:hyperlink>
      <w:r>
        <w:t xml:space="preserve"> </w:t>
      </w:r>
    </w:p>
  </w:footnote>
  <w:footnote w:id="9">
    <w:p w14:paraId="274D7A77" w14:textId="31781A97" w:rsidR="3F4756A7" w:rsidRPr="0009310C" w:rsidRDefault="3F4756A7" w:rsidP="3F4756A7">
      <w:pPr>
        <w:pStyle w:val="FootnoteText"/>
        <w:rPr>
          <w:rFonts w:cstheme="minorHAnsi"/>
          <w:sz w:val="18"/>
          <w:szCs w:val="18"/>
        </w:rPr>
      </w:pPr>
      <w:r w:rsidRPr="0009310C">
        <w:rPr>
          <w:rStyle w:val="FootnoteReference"/>
          <w:rFonts w:cstheme="minorHAnsi"/>
          <w:sz w:val="18"/>
          <w:szCs w:val="18"/>
        </w:rPr>
        <w:footnoteRef/>
      </w:r>
      <w:r w:rsidRPr="0009310C">
        <w:rPr>
          <w:rFonts w:cstheme="minorHAnsi"/>
          <w:sz w:val="18"/>
          <w:szCs w:val="18"/>
        </w:rPr>
        <w:t xml:space="preserve"> </w:t>
      </w:r>
      <w:r w:rsidRPr="0009310C">
        <w:rPr>
          <w:rFonts w:eastAsia="Segoe UI" w:cstheme="minorHAnsi"/>
          <w:color w:val="333333"/>
          <w:sz w:val="18"/>
          <w:szCs w:val="18"/>
        </w:rPr>
        <w:t>https://www.nrdc.org/experts/amulya-yerrapotu/case-equitable-building-decarb-midwest</w:t>
      </w:r>
    </w:p>
  </w:footnote>
  <w:footnote w:id="10">
    <w:p w14:paraId="7308B772" w14:textId="2C388ADD" w:rsidR="00AB0CCE" w:rsidRPr="0009310C" w:rsidRDefault="00AB0CCE">
      <w:pPr>
        <w:pStyle w:val="FootnoteText"/>
        <w:rPr>
          <w:rFonts w:cstheme="minorHAnsi"/>
          <w:sz w:val="18"/>
          <w:szCs w:val="18"/>
        </w:rPr>
      </w:pPr>
      <w:r w:rsidRPr="0009310C">
        <w:rPr>
          <w:rStyle w:val="FootnoteReference"/>
          <w:rFonts w:cstheme="minorHAnsi"/>
          <w:sz w:val="18"/>
          <w:szCs w:val="18"/>
        </w:rPr>
        <w:footnoteRef/>
      </w:r>
      <w:r w:rsidRPr="0009310C">
        <w:rPr>
          <w:rFonts w:cstheme="minorHAnsi"/>
          <w:sz w:val="18"/>
          <w:szCs w:val="18"/>
        </w:rPr>
        <w:t xml:space="preserve"> A </w:t>
      </w:r>
      <w:hyperlink r:id="rId10" w:history="1">
        <w:r w:rsidRPr="0009310C">
          <w:rPr>
            <w:rStyle w:val="Hyperlink"/>
            <w:rFonts w:cstheme="minorHAnsi"/>
            <w:sz w:val="18"/>
            <w:szCs w:val="18"/>
          </w:rPr>
          <w:t>2022 National Center for Healthy Housing report</w:t>
        </w:r>
      </w:hyperlink>
      <w:r w:rsidRPr="0009310C">
        <w:rPr>
          <w:rFonts w:cstheme="minorHAnsi"/>
          <w:sz w:val="18"/>
          <w:szCs w:val="18"/>
        </w:rPr>
        <w:t xml:space="preserve"> found </w:t>
      </w:r>
      <w:r w:rsidR="00732AD3" w:rsidRPr="0009310C">
        <w:rPr>
          <w:rFonts w:cstheme="minorHAnsi"/>
          <w:sz w:val="18"/>
          <w:szCs w:val="18"/>
        </w:rPr>
        <w:t>that while installing continuous mechanical ventilation systems significantly reduces some forms of indoor air pollution, ultimately no amount of ventilation can fully compensate for all the contaminants produced by indoor combustion systems like gas stoves.</w:t>
      </w:r>
    </w:p>
  </w:footnote>
  <w:footnote w:id="11">
    <w:p w14:paraId="7032A7A0" w14:textId="18C95C98" w:rsidR="00473863" w:rsidRPr="0009310C" w:rsidRDefault="00473863">
      <w:pPr>
        <w:pStyle w:val="FootnoteText"/>
        <w:rPr>
          <w:sz w:val="18"/>
          <w:szCs w:val="18"/>
        </w:rPr>
      </w:pPr>
      <w:r w:rsidRPr="0009310C">
        <w:rPr>
          <w:rStyle w:val="FootnoteReference"/>
          <w:sz w:val="18"/>
          <w:szCs w:val="18"/>
        </w:rPr>
        <w:footnoteRef/>
      </w:r>
      <w:r w:rsidRPr="0009310C">
        <w:rPr>
          <w:sz w:val="18"/>
          <w:szCs w:val="18"/>
        </w:rPr>
        <w:t xml:space="preserve"> See ACEEE’s 2022 review of energy efficiency programs targeting low-income households: https://www.aceee.org/research-report/u2205</w:t>
      </w:r>
    </w:p>
  </w:footnote>
  <w:footnote w:id="12">
    <w:p w14:paraId="71F896B3" w14:textId="1DD7E5DF" w:rsidR="00A851DF" w:rsidRPr="0009310C" w:rsidRDefault="00A851DF">
      <w:pPr>
        <w:pStyle w:val="FootnoteText"/>
        <w:rPr>
          <w:sz w:val="18"/>
          <w:szCs w:val="18"/>
        </w:rPr>
      </w:pPr>
      <w:r w:rsidRPr="0009310C">
        <w:rPr>
          <w:rStyle w:val="FootnoteReference"/>
          <w:sz w:val="18"/>
          <w:szCs w:val="18"/>
        </w:rPr>
        <w:footnoteRef/>
      </w:r>
      <w:r w:rsidRPr="0009310C">
        <w:rPr>
          <w:sz w:val="18"/>
          <w:szCs w:val="18"/>
        </w:rPr>
        <w:t xml:space="preserve"> </w:t>
      </w:r>
      <w:hyperlink r:id="rId11" w:history="1">
        <w:r w:rsidRPr="0009310C">
          <w:rPr>
            <w:rStyle w:val="Hyperlink"/>
            <w:sz w:val="18"/>
            <w:szCs w:val="18"/>
          </w:rPr>
          <w:t>https://static1.squarespace.com/static/5b6a482db27e39e8fcf65bbf/t/62dee63440f313694d2da211/1658775094884/BEI_Housing+Affordability+and+Building+Electrification_July+2022.pdf</w:t>
        </w:r>
      </w:hyperlink>
      <w:r w:rsidRPr="0009310C">
        <w:rPr>
          <w:sz w:val="18"/>
          <w:szCs w:val="18"/>
        </w:rPr>
        <w:t xml:space="preserve"> </w:t>
      </w:r>
    </w:p>
  </w:footnote>
  <w:footnote w:id="13">
    <w:p w14:paraId="7F4B9798" w14:textId="4082A3C5" w:rsidR="00A858ED" w:rsidRPr="0009310C" w:rsidRDefault="00A858ED">
      <w:pPr>
        <w:pStyle w:val="FootnoteText"/>
        <w:rPr>
          <w:sz w:val="18"/>
          <w:szCs w:val="18"/>
        </w:rPr>
      </w:pPr>
      <w:r w:rsidRPr="0009310C">
        <w:rPr>
          <w:rStyle w:val="FootnoteReference"/>
          <w:sz w:val="18"/>
          <w:szCs w:val="18"/>
        </w:rPr>
        <w:footnoteRef/>
      </w:r>
      <w:r w:rsidRPr="0009310C">
        <w:rPr>
          <w:sz w:val="18"/>
          <w:szCs w:val="18"/>
        </w:rPr>
        <w:t xml:space="preserve"> </w:t>
      </w:r>
      <w:r w:rsidRPr="0009310C">
        <w:rPr>
          <w:rFonts w:cstheme="minorHAnsi"/>
          <w:sz w:val="18"/>
          <w:szCs w:val="18"/>
        </w:rPr>
        <w:t>See, for instance, Building Electrification Institute’s analyses for DC, Salt Lake City, San Jose, and Burlington (</w:t>
      </w:r>
      <w:hyperlink r:id="rId12" w:history="1">
        <w:r w:rsidRPr="0009310C">
          <w:rPr>
            <w:rStyle w:val="Hyperlink"/>
            <w:rFonts w:cstheme="minorHAnsi"/>
            <w:sz w:val="18"/>
            <w:szCs w:val="18"/>
          </w:rPr>
          <w:t>https://www.beicities.org/city-resources</w:t>
        </w:r>
      </w:hyperlink>
      <w:r w:rsidRPr="0009310C">
        <w:rPr>
          <w:rFonts w:cstheme="minorHAnsi"/>
          <w:sz w:val="18"/>
          <w:szCs w:val="18"/>
        </w:rPr>
        <w:t xml:space="preserve">), as well as </w:t>
      </w:r>
      <w:proofErr w:type="spellStart"/>
      <w:r w:rsidRPr="0009310C">
        <w:rPr>
          <w:rFonts w:cstheme="minorHAnsi"/>
          <w:sz w:val="18"/>
          <w:szCs w:val="18"/>
        </w:rPr>
        <w:t>Energy+Environmental</w:t>
      </w:r>
      <w:proofErr w:type="spellEnd"/>
      <w:r w:rsidRPr="0009310C">
        <w:rPr>
          <w:rFonts w:cstheme="minorHAnsi"/>
          <w:sz w:val="18"/>
          <w:szCs w:val="18"/>
        </w:rPr>
        <w:t xml:space="preserve"> Economics’ analysis across all of Utah’s climate zones (</w:t>
      </w:r>
      <w:hyperlink r:id="rId13" w:history="1">
        <w:r w:rsidRPr="0009310C">
          <w:rPr>
            <w:rStyle w:val="Hyperlink"/>
            <w:rFonts w:cstheme="minorHAnsi"/>
            <w:sz w:val="18"/>
            <w:szCs w:val="18"/>
          </w:rPr>
          <w:t>https://www.ethree.com/economics-of-all-electric-new-construction-in-utah/</w:t>
        </w:r>
      </w:hyperlink>
      <w:r w:rsidRPr="0009310C">
        <w:rPr>
          <w:rFonts w:cstheme="minorHAnsi"/>
          <w:sz w:val="18"/>
          <w:szCs w:val="18"/>
        </w:rPr>
        <w:t>).</w:t>
      </w:r>
    </w:p>
  </w:footnote>
  <w:footnote w:id="14">
    <w:p w14:paraId="6539340D" w14:textId="7A5E17A3" w:rsidR="007E035D" w:rsidRPr="0009310C" w:rsidRDefault="007E035D">
      <w:pPr>
        <w:pStyle w:val="FootnoteText"/>
        <w:rPr>
          <w:sz w:val="18"/>
          <w:szCs w:val="18"/>
        </w:rPr>
      </w:pPr>
      <w:r w:rsidRPr="0009310C">
        <w:rPr>
          <w:rStyle w:val="FootnoteReference"/>
          <w:sz w:val="18"/>
          <w:szCs w:val="18"/>
        </w:rPr>
        <w:footnoteRef/>
      </w:r>
      <w:r w:rsidRPr="0009310C">
        <w:rPr>
          <w:sz w:val="18"/>
          <w:szCs w:val="18"/>
        </w:rPr>
        <w:t xml:space="preserve"> Encouragingly, BEI analysis (</w:t>
      </w:r>
      <w:r w:rsidRPr="0009310C">
        <w:rPr>
          <w:rFonts w:cstheme="minorHAnsi"/>
          <w:sz w:val="18"/>
          <w:szCs w:val="18"/>
        </w:rPr>
        <w:t>See, for instance, BEI’s analyses for DC, Salt Lake City, and Burlington (</w:t>
      </w:r>
      <w:hyperlink r:id="rId14" w:history="1">
        <w:r w:rsidRPr="0009310C">
          <w:rPr>
            <w:rStyle w:val="Hyperlink"/>
            <w:rFonts w:cstheme="minorHAnsi"/>
            <w:sz w:val="18"/>
            <w:szCs w:val="18"/>
          </w:rPr>
          <w:t>https://www.beicities.org/city-resources</w:t>
        </w:r>
      </w:hyperlink>
      <w:r w:rsidRPr="0009310C">
        <w:rPr>
          <w:sz w:val="18"/>
          <w:szCs w:val="18"/>
        </w:rPr>
        <w:t>) finds that there are ways to avoid this in almost every climate in the US with the right retrofit strategies and technologies. However, those strategies and technologies may require additional subsidies, particularly for low-income households.</w:t>
      </w:r>
    </w:p>
  </w:footnote>
  <w:footnote w:id="15">
    <w:p w14:paraId="6DE65907" w14:textId="18291549" w:rsidR="002F541A" w:rsidRPr="0009310C" w:rsidRDefault="002F541A">
      <w:pPr>
        <w:pStyle w:val="FootnoteText"/>
        <w:rPr>
          <w:rFonts w:cstheme="minorHAnsi"/>
          <w:sz w:val="18"/>
          <w:szCs w:val="18"/>
        </w:rPr>
      </w:pPr>
      <w:r w:rsidRPr="0009310C">
        <w:rPr>
          <w:rStyle w:val="FootnoteReference"/>
          <w:rFonts w:cstheme="minorHAnsi"/>
          <w:sz w:val="18"/>
          <w:szCs w:val="18"/>
        </w:rPr>
        <w:footnoteRef/>
      </w:r>
      <w:r w:rsidRPr="0009310C">
        <w:rPr>
          <w:rFonts w:cstheme="minorHAnsi"/>
          <w:sz w:val="18"/>
          <w:szCs w:val="18"/>
        </w:rPr>
        <w:t xml:space="preserve"> </w:t>
      </w:r>
      <w:hyperlink r:id="rId15" w:history="1">
        <w:r w:rsidRPr="0009310C">
          <w:rPr>
            <w:rStyle w:val="Hyperlink"/>
            <w:rFonts w:cstheme="minorHAnsi"/>
            <w:sz w:val="18"/>
            <w:szCs w:val="18"/>
          </w:rPr>
          <w:t>Building Decarbonization Solutions for the Affordable Housing Sector, 2022</w:t>
        </w:r>
      </w:hyperlink>
    </w:p>
  </w:footnote>
  <w:footnote w:id="16">
    <w:p w14:paraId="1275F695" w14:textId="77777777" w:rsidR="002423C0" w:rsidRPr="0009310C" w:rsidRDefault="002423C0" w:rsidP="002423C0">
      <w:pPr>
        <w:pStyle w:val="FootnoteText"/>
        <w:rPr>
          <w:rFonts w:cstheme="minorHAnsi"/>
          <w:sz w:val="18"/>
          <w:szCs w:val="18"/>
        </w:rPr>
      </w:pPr>
      <w:r w:rsidRPr="0009310C">
        <w:rPr>
          <w:rStyle w:val="FootnoteReference"/>
          <w:rFonts w:cstheme="minorHAnsi"/>
          <w:sz w:val="18"/>
          <w:szCs w:val="18"/>
        </w:rPr>
        <w:footnoteRef/>
      </w:r>
      <w:r w:rsidRPr="0009310C">
        <w:rPr>
          <w:rFonts w:cstheme="minorHAnsi"/>
          <w:sz w:val="18"/>
          <w:szCs w:val="18"/>
        </w:rPr>
        <w:t xml:space="preserve"> </w:t>
      </w:r>
      <w:hyperlink r:id="rId16" w:history="1">
        <w:r w:rsidRPr="0009310C">
          <w:rPr>
            <w:rStyle w:val="Hyperlink"/>
            <w:rFonts w:cstheme="minorHAnsi"/>
            <w:sz w:val="18"/>
            <w:szCs w:val="18"/>
          </w:rPr>
          <w:t>Energy Efficiency Financing for Low- and Moderate-Income Households: Current State of the Market, Issues, and Opportunities</w:t>
        </w:r>
      </w:hyperlink>
    </w:p>
  </w:footnote>
  <w:footnote w:id="17">
    <w:p w14:paraId="64FB8E4E" w14:textId="31EE8EED" w:rsidR="002F541A" w:rsidRPr="0009310C" w:rsidRDefault="002F541A">
      <w:pPr>
        <w:pStyle w:val="FootnoteText"/>
        <w:rPr>
          <w:rFonts w:cstheme="minorHAnsi"/>
          <w:sz w:val="18"/>
          <w:szCs w:val="18"/>
        </w:rPr>
      </w:pPr>
      <w:r w:rsidRPr="0009310C">
        <w:rPr>
          <w:rStyle w:val="FootnoteReference"/>
          <w:rFonts w:cstheme="minorHAnsi"/>
          <w:sz w:val="18"/>
          <w:szCs w:val="18"/>
        </w:rPr>
        <w:footnoteRef/>
      </w:r>
      <w:r w:rsidRPr="0009310C">
        <w:rPr>
          <w:rFonts w:cstheme="minorHAnsi"/>
          <w:sz w:val="18"/>
          <w:szCs w:val="18"/>
        </w:rPr>
        <w:t xml:space="preserve"> </w:t>
      </w:r>
      <w:hyperlink r:id="rId17" w:history="1">
        <w:r w:rsidRPr="0009310C">
          <w:rPr>
            <w:rStyle w:val="Hyperlink"/>
            <w:rFonts w:cstheme="minorHAnsi"/>
            <w:sz w:val="18"/>
            <w:szCs w:val="18"/>
          </w:rPr>
          <w:t>Multifamily Energy Efficiency: Reported Barriers and Emerging Practices, 2013</w:t>
        </w:r>
      </w:hyperlink>
    </w:p>
  </w:footnote>
  <w:footnote w:id="18">
    <w:p w14:paraId="51E8C05D" w14:textId="1EF5107B" w:rsidR="002F541A" w:rsidRPr="0009310C" w:rsidRDefault="002F541A">
      <w:pPr>
        <w:pStyle w:val="FootnoteText"/>
        <w:rPr>
          <w:rFonts w:cstheme="minorHAnsi"/>
          <w:sz w:val="18"/>
          <w:szCs w:val="18"/>
        </w:rPr>
      </w:pPr>
      <w:r w:rsidRPr="0009310C">
        <w:rPr>
          <w:rStyle w:val="FootnoteReference"/>
          <w:rFonts w:cstheme="minorHAnsi"/>
          <w:sz w:val="18"/>
          <w:szCs w:val="18"/>
        </w:rPr>
        <w:footnoteRef/>
      </w:r>
      <w:r w:rsidRPr="0009310C">
        <w:rPr>
          <w:rFonts w:cstheme="minorHAnsi"/>
          <w:sz w:val="18"/>
          <w:szCs w:val="18"/>
        </w:rPr>
        <w:t xml:space="preserve"> </w:t>
      </w:r>
      <w:hyperlink r:id="rId18" w:history="1">
        <w:r w:rsidRPr="0009310C">
          <w:rPr>
            <w:rStyle w:val="Hyperlink"/>
            <w:rFonts w:cstheme="minorHAnsi"/>
            <w:sz w:val="18"/>
            <w:szCs w:val="18"/>
          </w:rPr>
          <w:t>Better Buildings Financing Navigator</w:t>
        </w:r>
      </w:hyperlink>
    </w:p>
  </w:footnote>
  <w:footnote w:id="19">
    <w:p w14:paraId="17335683" w14:textId="680A499D" w:rsidR="007F7FC2" w:rsidRPr="0009310C" w:rsidRDefault="007F7FC2">
      <w:pPr>
        <w:pStyle w:val="FootnoteText"/>
        <w:rPr>
          <w:rFonts w:cstheme="minorHAnsi"/>
          <w:sz w:val="18"/>
          <w:szCs w:val="18"/>
        </w:rPr>
      </w:pPr>
      <w:r w:rsidRPr="0009310C">
        <w:rPr>
          <w:rStyle w:val="FootnoteReference"/>
          <w:rFonts w:cstheme="minorHAnsi"/>
          <w:sz w:val="18"/>
          <w:szCs w:val="18"/>
        </w:rPr>
        <w:footnoteRef/>
      </w:r>
      <w:r w:rsidRPr="0009310C">
        <w:rPr>
          <w:rFonts w:cstheme="minorHAnsi"/>
          <w:sz w:val="18"/>
          <w:szCs w:val="18"/>
        </w:rPr>
        <w:t xml:space="preserve"> https://www.nlc.org/article/2022/09/13/federal-funding-to-help-municipalities-implement-modern-energy-codes/</w:t>
      </w:r>
    </w:p>
  </w:footnote>
  <w:footnote w:id="20">
    <w:p w14:paraId="2E69E939" w14:textId="5BC4625B" w:rsidR="006C5D11" w:rsidRPr="0009310C" w:rsidRDefault="006C5D11">
      <w:pPr>
        <w:pStyle w:val="FootnoteText"/>
        <w:rPr>
          <w:sz w:val="18"/>
          <w:szCs w:val="18"/>
        </w:rPr>
      </w:pPr>
      <w:r w:rsidRPr="0009310C">
        <w:rPr>
          <w:rStyle w:val="FootnoteReference"/>
          <w:sz w:val="18"/>
          <w:szCs w:val="18"/>
        </w:rPr>
        <w:footnoteRef/>
      </w:r>
      <w:r w:rsidRPr="0009310C">
        <w:rPr>
          <w:sz w:val="18"/>
          <w:szCs w:val="18"/>
        </w:rPr>
        <w:t xml:space="preserve"> For instance, see RMI’s Zero Emissions Building Ordinance</w:t>
      </w:r>
      <w:r w:rsidR="000948C8" w:rsidRPr="0009310C">
        <w:rPr>
          <w:sz w:val="18"/>
          <w:szCs w:val="18"/>
        </w:rPr>
        <w:t>s</w:t>
      </w:r>
      <w:r w:rsidRPr="0009310C">
        <w:rPr>
          <w:sz w:val="18"/>
          <w:szCs w:val="18"/>
        </w:rPr>
        <w:t xml:space="preserve"> Tracker here: </w:t>
      </w:r>
      <w:hyperlink r:id="rId19" w:history="1">
        <w:r w:rsidRPr="0009310C">
          <w:rPr>
            <w:rStyle w:val="Hyperlink"/>
            <w:sz w:val="18"/>
            <w:szCs w:val="18"/>
          </w:rPr>
          <w:t>https://buildingdecarb.org/zeb-ordinances</w:t>
        </w:r>
      </w:hyperlink>
      <w:r w:rsidRPr="0009310C">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A1A8BF6" w14:paraId="1BD6EF70" w14:textId="77777777" w:rsidTr="4A1A8BF6">
      <w:trPr>
        <w:trHeight w:val="300"/>
      </w:trPr>
      <w:tc>
        <w:tcPr>
          <w:tcW w:w="3120" w:type="dxa"/>
        </w:tcPr>
        <w:p w14:paraId="5020C619" w14:textId="6FA45C48" w:rsidR="4A1A8BF6" w:rsidRDefault="4A1A8BF6" w:rsidP="4A1A8BF6">
          <w:pPr>
            <w:pStyle w:val="Header"/>
            <w:ind w:left="-115"/>
          </w:pPr>
        </w:p>
      </w:tc>
      <w:tc>
        <w:tcPr>
          <w:tcW w:w="3120" w:type="dxa"/>
        </w:tcPr>
        <w:p w14:paraId="3F874430" w14:textId="69B1A324" w:rsidR="4A1A8BF6" w:rsidRDefault="4A1A8BF6" w:rsidP="4A1A8BF6">
          <w:pPr>
            <w:pStyle w:val="Header"/>
            <w:jc w:val="center"/>
          </w:pPr>
        </w:p>
      </w:tc>
      <w:tc>
        <w:tcPr>
          <w:tcW w:w="3120" w:type="dxa"/>
        </w:tcPr>
        <w:p w14:paraId="2E15A167" w14:textId="71780757" w:rsidR="4A1A8BF6" w:rsidRDefault="4A1A8BF6" w:rsidP="4A1A8BF6">
          <w:pPr>
            <w:pStyle w:val="Header"/>
            <w:ind w:right="-115"/>
            <w:jc w:val="right"/>
          </w:pPr>
        </w:p>
      </w:tc>
    </w:tr>
  </w:tbl>
  <w:p w14:paraId="086CC150" w14:textId="7965EEE0" w:rsidR="4A1A8BF6" w:rsidRDefault="00394980" w:rsidP="4A1A8BF6">
    <w:pPr>
      <w:pStyle w:val="Header"/>
    </w:pPr>
    <w:r>
      <w:t xml:space="preserve">WORKING PAPER FOR DISCUSSION PURPOSES </w:t>
    </w:r>
    <w:r w:rsidR="00066CBE">
      <w:t>6-7</w:t>
    </w:r>
    <w:r w:rsidR="004173BE">
      <w:t>-23</w:t>
    </w:r>
  </w:p>
  <w:p w14:paraId="43589DE4" w14:textId="77777777" w:rsidR="004173BE" w:rsidRDefault="004173BE" w:rsidP="4A1A8BF6">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GiYLUoLO" int2:invalidationBookmarkName="" int2:hashCode="wBEc2T0+6vlBpZ" int2:id="q86Mytv4">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8E18C"/>
    <w:multiLevelType w:val="hybridMultilevel"/>
    <w:tmpl w:val="2038588A"/>
    <w:lvl w:ilvl="0" w:tplc="2E34C902">
      <w:start w:val="1"/>
      <w:numFmt w:val="bullet"/>
      <w:lvlText w:val="·"/>
      <w:lvlJc w:val="left"/>
      <w:pPr>
        <w:ind w:left="720" w:hanging="360"/>
      </w:pPr>
      <w:rPr>
        <w:rFonts w:ascii="Symbol" w:hAnsi="Symbol" w:hint="default"/>
      </w:rPr>
    </w:lvl>
    <w:lvl w:ilvl="1" w:tplc="0974F460">
      <w:start w:val="1"/>
      <w:numFmt w:val="bullet"/>
      <w:lvlText w:val="o"/>
      <w:lvlJc w:val="left"/>
      <w:pPr>
        <w:ind w:left="1440" w:hanging="360"/>
      </w:pPr>
      <w:rPr>
        <w:rFonts w:ascii="Courier New" w:hAnsi="Courier New" w:hint="default"/>
      </w:rPr>
    </w:lvl>
    <w:lvl w:ilvl="2" w:tplc="C376288C">
      <w:start w:val="1"/>
      <w:numFmt w:val="bullet"/>
      <w:lvlText w:val=""/>
      <w:lvlJc w:val="left"/>
      <w:pPr>
        <w:ind w:left="2160" w:hanging="360"/>
      </w:pPr>
      <w:rPr>
        <w:rFonts w:ascii="Wingdings" w:hAnsi="Wingdings" w:hint="default"/>
      </w:rPr>
    </w:lvl>
    <w:lvl w:ilvl="3" w:tplc="06A2F654">
      <w:start w:val="1"/>
      <w:numFmt w:val="bullet"/>
      <w:lvlText w:val=""/>
      <w:lvlJc w:val="left"/>
      <w:pPr>
        <w:ind w:left="2880" w:hanging="360"/>
      </w:pPr>
      <w:rPr>
        <w:rFonts w:ascii="Symbol" w:hAnsi="Symbol" w:hint="default"/>
      </w:rPr>
    </w:lvl>
    <w:lvl w:ilvl="4" w:tplc="ACC8F9EA">
      <w:start w:val="1"/>
      <w:numFmt w:val="bullet"/>
      <w:lvlText w:val="o"/>
      <w:lvlJc w:val="left"/>
      <w:pPr>
        <w:ind w:left="3600" w:hanging="360"/>
      </w:pPr>
      <w:rPr>
        <w:rFonts w:ascii="Courier New" w:hAnsi="Courier New" w:hint="default"/>
      </w:rPr>
    </w:lvl>
    <w:lvl w:ilvl="5" w:tplc="2E5E160C">
      <w:start w:val="1"/>
      <w:numFmt w:val="bullet"/>
      <w:lvlText w:val=""/>
      <w:lvlJc w:val="left"/>
      <w:pPr>
        <w:ind w:left="4320" w:hanging="360"/>
      </w:pPr>
      <w:rPr>
        <w:rFonts w:ascii="Wingdings" w:hAnsi="Wingdings" w:hint="default"/>
      </w:rPr>
    </w:lvl>
    <w:lvl w:ilvl="6" w:tplc="09067450">
      <w:start w:val="1"/>
      <w:numFmt w:val="bullet"/>
      <w:lvlText w:val=""/>
      <w:lvlJc w:val="left"/>
      <w:pPr>
        <w:ind w:left="5040" w:hanging="360"/>
      </w:pPr>
      <w:rPr>
        <w:rFonts w:ascii="Symbol" w:hAnsi="Symbol" w:hint="default"/>
      </w:rPr>
    </w:lvl>
    <w:lvl w:ilvl="7" w:tplc="86A28C68">
      <w:start w:val="1"/>
      <w:numFmt w:val="bullet"/>
      <w:lvlText w:val="o"/>
      <w:lvlJc w:val="left"/>
      <w:pPr>
        <w:ind w:left="5760" w:hanging="360"/>
      </w:pPr>
      <w:rPr>
        <w:rFonts w:ascii="Courier New" w:hAnsi="Courier New" w:hint="default"/>
      </w:rPr>
    </w:lvl>
    <w:lvl w:ilvl="8" w:tplc="FFF2952A">
      <w:start w:val="1"/>
      <w:numFmt w:val="bullet"/>
      <w:lvlText w:val=""/>
      <w:lvlJc w:val="left"/>
      <w:pPr>
        <w:ind w:left="6480" w:hanging="360"/>
      </w:pPr>
      <w:rPr>
        <w:rFonts w:ascii="Wingdings" w:hAnsi="Wingdings" w:hint="default"/>
      </w:rPr>
    </w:lvl>
  </w:abstractNum>
  <w:abstractNum w:abstractNumId="1" w15:restartNumberingAfterBreak="0">
    <w:nsid w:val="02D96166"/>
    <w:multiLevelType w:val="hybridMultilevel"/>
    <w:tmpl w:val="106E8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34810"/>
    <w:multiLevelType w:val="hybridMultilevel"/>
    <w:tmpl w:val="558C2FFC"/>
    <w:lvl w:ilvl="0" w:tplc="520623D2">
      <w:start w:val="1"/>
      <w:numFmt w:val="bullet"/>
      <w:lvlText w:val="·"/>
      <w:lvlJc w:val="left"/>
      <w:pPr>
        <w:ind w:left="720" w:hanging="360"/>
      </w:pPr>
      <w:rPr>
        <w:rFonts w:ascii="Symbol" w:hAnsi="Symbol" w:hint="default"/>
      </w:rPr>
    </w:lvl>
    <w:lvl w:ilvl="1" w:tplc="A014ABDC">
      <w:start w:val="1"/>
      <w:numFmt w:val="bullet"/>
      <w:lvlText w:val="§"/>
      <w:lvlJc w:val="left"/>
      <w:pPr>
        <w:ind w:left="1440" w:hanging="360"/>
      </w:pPr>
      <w:rPr>
        <w:rFonts w:ascii="Wingdings" w:hAnsi="Wingdings" w:hint="default"/>
      </w:rPr>
    </w:lvl>
    <w:lvl w:ilvl="2" w:tplc="A294ACA4">
      <w:start w:val="1"/>
      <w:numFmt w:val="bullet"/>
      <w:lvlText w:val="·"/>
      <w:lvlJc w:val="left"/>
      <w:pPr>
        <w:ind w:left="2160" w:hanging="360"/>
      </w:pPr>
      <w:rPr>
        <w:rFonts w:ascii="Symbol" w:hAnsi="Symbol" w:hint="default"/>
      </w:rPr>
    </w:lvl>
    <w:lvl w:ilvl="3" w:tplc="C20CC39C">
      <w:start w:val="1"/>
      <w:numFmt w:val="bullet"/>
      <w:lvlText w:val=""/>
      <w:lvlJc w:val="left"/>
      <w:pPr>
        <w:ind w:left="2880" w:hanging="360"/>
      </w:pPr>
      <w:rPr>
        <w:rFonts w:ascii="Symbol" w:hAnsi="Symbol" w:hint="default"/>
      </w:rPr>
    </w:lvl>
    <w:lvl w:ilvl="4" w:tplc="E236BC6C">
      <w:start w:val="1"/>
      <w:numFmt w:val="bullet"/>
      <w:lvlText w:val="o"/>
      <w:lvlJc w:val="left"/>
      <w:pPr>
        <w:ind w:left="3600" w:hanging="360"/>
      </w:pPr>
      <w:rPr>
        <w:rFonts w:ascii="Courier New" w:hAnsi="Courier New" w:hint="default"/>
      </w:rPr>
    </w:lvl>
    <w:lvl w:ilvl="5" w:tplc="F266D530">
      <w:start w:val="1"/>
      <w:numFmt w:val="bullet"/>
      <w:lvlText w:val=""/>
      <w:lvlJc w:val="left"/>
      <w:pPr>
        <w:ind w:left="4320" w:hanging="360"/>
      </w:pPr>
      <w:rPr>
        <w:rFonts w:ascii="Wingdings" w:hAnsi="Wingdings" w:hint="default"/>
      </w:rPr>
    </w:lvl>
    <w:lvl w:ilvl="6" w:tplc="1C7040DE">
      <w:start w:val="1"/>
      <w:numFmt w:val="bullet"/>
      <w:lvlText w:val=""/>
      <w:lvlJc w:val="left"/>
      <w:pPr>
        <w:ind w:left="5040" w:hanging="360"/>
      </w:pPr>
      <w:rPr>
        <w:rFonts w:ascii="Symbol" w:hAnsi="Symbol" w:hint="default"/>
      </w:rPr>
    </w:lvl>
    <w:lvl w:ilvl="7" w:tplc="132A6EF8">
      <w:start w:val="1"/>
      <w:numFmt w:val="bullet"/>
      <w:lvlText w:val="o"/>
      <w:lvlJc w:val="left"/>
      <w:pPr>
        <w:ind w:left="5760" w:hanging="360"/>
      </w:pPr>
      <w:rPr>
        <w:rFonts w:ascii="Courier New" w:hAnsi="Courier New" w:hint="default"/>
      </w:rPr>
    </w:lvl>
    <w:lvl w:ilvl="8" w:tplc="8626F344">
      <w:start w:val="1"/>
      <w:numFmt w:val="bullet"/>
      <w:lvlText w:val=""/>
      <w:lvlJc w:val="left"/>
      <w:pPr>
        <w:ind w:left="6480" w:hanging="360"/>
      </w:pPr>
      <w:rPr>
        <w:rFonts w:ascii="Wingdings" w:hAnsi="Wingdings" w:hint="default"/>
      </w:rPr>
    </w:lvl>
  </w:abstractNum>
  <w:abstractNum w:abstractNumId="3" w15:restartNumberingAfterBreak="0">
    <w:nsid w:val="0C726A94"/>
    <w:multiLevelType w:val="hybridMultilevel"/>
    <w:tmpl w:val="64A6A210"/>
    <w:lvl w:ilvl="0" w:tplc="FFFFFFFF">
      <w:start w:val="1"/>
      <w:numFmt w:val="bullet"/>
      <w:lvlText w:val=""/>
      <w:lvlJc w:val="left"/>
      <w:pPr>
        <w:ind w:left="720" w:hanging="360"/>
      </w:pPr>
      <w:rPr>
        <w:rFonts w:ascii="Symbol" w:hAnsi="Symbol" w:hint="default"/>
      </w:rPr>
    </w:lvl>
    <w:lvl w:ilvl="1" w:tplc="88D60E6A">
      <w:start w:val="1"/>
      <w:numFmt w:val="bullet"/>
      <w:lvlText w:val="o"/>
      <w:lvlJc w:val="left"/>
      <w:pPr>
        <w:ind w:left="1440" w:hanging="360"/>
      </w:pPr>
      <w:rPr>
        <w:rFonts w:ascii="Courier New" w:hAnsi="Courier New" w:hint="default"/>
      </w:rPr>
    </w:lvl>
    <w:lvl w:ilvl="2" w:tplc="34343698">
      <w:start w:val="1"/>
      <w:numFmt w:val="bullet"/>
      <w:lvlText w:val=""/>
      <w:lvlJc w:val="left"/>
      <w:pPr>
        <w:ind w:left="2160" w:hanging="360"/>
      </w:pPr>
      <w:rPr>
        <w:rFonts w:ascii="Wingdings" w:hAnsi="Wingdings" w:hint="default"/>
      </w:rPr>
    </w:lvl>
    <w:lvl w:ilvl="3" w:tplc="B55C340E">
      <w:start w:val="1"/>
      <w:numFmt w:val="bullet"/>
      <w:lvlText w:val=""/>
      <w:lvlJc w:val="left"/>
      <w:pPr>
        <w:ind w:left="2880" w:hanging="360"/>
      </w:pPr>
      <w:rPr>
        <w:rFonts w:ascii="Symbol" w:hAnsi="Symbol" w:hint="default"/>
      </w:rPr>
    </w:lvl>
    <w:lvl w:ilvl="4" w:tplc="519A1008">
      <w:start w:val="1"/>
      <w:numFmt w:val="bullet"/>
      <w:lvlText w:val="o"/>
      <w:lvlJc w:val="left"/>
      <w:pPr>
        <w:ind w:left="3600" w:hanging="360"/>
      </w:pPr>
      <w:rPr>
        <w:rFonts w:ascii="Courier New" w:hAnsi="Courier New" w:hint="default"/>
      </w:rPr>
    </w:lvl>
    <w:lvl w:ilvl="5" w:tplc="474CC120">
      <w:start w:val="1"/>
      <w:numFmt w:val="bullet"/>
      <w:lvlText w:val=""/>
      <w:lvlJc w:val="left"/>
      <w:pPr>
        <w:ind w:left="4320" w:hanging="360"/>
      </w:pPr>
      <w:rPr>
        <w:rFonts w:ascii="Wingdings" w:hAnsi="Wingdings" w:hint="default"/>
      </w:rPr>
    </w:lvl>
    <w:lvl w:ilvl="6" w:tplc="837CC5B0">
      <w:start w:val="1"/>
      <w:numFmt w:val="bullet"/>
      <w:lvlText w:val=""/>
      <w:lvlJc w:val="left"/>
      <w:pPr>
        <w:ind w:left="5040" w:hanging="360"/>
      </w:pPr>
      <w:rPr>
        <w:rFonts w:ascii="Symbol" w:hAnsi="Symbol" w:hint="default"/>
      </w:rPr>
    </w:lvl>
    <w:lvl w:ilvl="7" w:tplc="A0C8BF5C">
      <w:start w:val="1"/>
      <w:numFmt w:val="bullet"/>
      <w:lvlText w:val="o"/>
      <w:lvlJc w:val="left"/>
      <w:pPr>
        <w:ind w:left="5760" w:hanging="360"/>
      </w:pPr>
      <w:rPr>
        <w:rFonts w:ascii="Courier New" w:hAnsi="Courier New" w:hint="default"/>
      </w:rPr>
    </w:lvl>
    <w:lvl w:ilvl="8" w:tplc="B0C05214">
      <w:start w:val="1"/>
      <w:numFmt w:val="bullet"/>
      <w:lvlText w:val=""/>
      <w:lvlJc w:val="left"/>
      <w:pPr>
        <w:ind w:left="6480" w:hanging="360"/>
      </w:pPr>
      <w:rPr>
        <w:rFonts w:ascii="Wingdings" w:hAnsi="Wingdings" w:hint="default"/>
      </w:rPr>
    </w:lvl>
  </w:abstractNum>
  <w:abstractNum w:abstractNumId="4" w15:restartNumberingAfterBreak="0">
    <w:nsid w:val="0CA55000"/>
    <w:multiLevelType w:val="hybridMultilevel"/>
    <w:tmpl w:val="F648B60C"/>
    <w:lvl w:ilvl="0" w:tplc="9C7855B0">
      <w:start w:val="1"/>
      <w:numFmt w:val="bullet"/>
      <w:lvlText w:val="·"/>
      <w:lvlJc w:val="left"/>
      <w:pPr>
        <w:ind w:left="720" w:hanging="360"/>
      </w:pPr>
      <w:rPr>
        <w:rFonts w:ascii="Symbol" w:hAnsi="Symbol" w:hint="default"/>
      </w:rPr>
    </w:lvl>
    <w:lvl w:ilvl="1" w:tplc="98C8C042">
      <w:start w:val="1"/>
      <w:numFmt w:val="bullet"/>
      <w:lvlText w:val="o"/>
      <w:lvlJc w:val="left"/>
      <w:pPr>
        <w:ind w:left="1440" w:hanging="360"/>
      </w:pPr>
      <w:rPr>
        <w:rFonts w:ascii="Courier New" w:hAnsi="Courier New" w:hint="default"/>
      </w:rPr>
    </w:lvl>
    <w:lvl w:ilvl="2" w:tplc="28C44102">
      <w:start w:val="1"/>
      <w:numFmt w:val="bullet"/>
      <w:lvlText w:val=""/>
      <w:lvlJc w:val="left"/>
      <w:pPr>
        <w:ind w:left="2160" w:hanging="360"/>
      </w:pPr>
      <w:rPr>
        <w:rFonts w:ascii="Wingdings" w:hAnsi="Wingdings" w:hint="default"/>
      </w:rPr>
    </w:lvl>
    <w:lvl w:ilvl="3" w:tplc="3984E1F4">
      <w:start w:val="1"/>
      <w:numFmt w:val="bullet"/>
      <w:lvlText w:val=""/>
      <w:lvlJc w:val="left"/>
      <w:pPr>
        <w:ind w:left="2880" w:hanging="360"/>
      </w:pPr>
      <w:rPr>
        <w:rFonts w:ascii="Symbol" w:hAnsi="Symbol" w:hint="default"/>
      </w:rPr>
    </w:lvl>
    <w:lvl w:ilvl="4" w:tplc="CF52F6FE">
      <w:start w:val="1"/>
      <w:numFmt w:val="bullet"/>
      <w:lvlText w:val="o"/>
      <w:lvlJc w:val="left"/>
      <w:pPr>
        <w:ind w:left="3600" w:hanging="360"/>
      </w:pPr>
      <w:rPr>
        <w:rFonts w:ascii="Courier New" w:hAnsi="Courier New" w:hint="default"/>
      </w:rPr>
    </w:lvl>
    <w:lvl w:ilvl="5" w:tplc="F51CB97A">
      <w:start w:val="1"/>
      <w:numFmt w:val="bullet"/>
      <w:lvlText w:val=""/>
      <w:lvlJc w:val="left"/>
      <w:pPr>
        <w:ind w:left="4320" w:hanging="360"/>
      </w:pPr>
      <w:rPr>
        <w:rFonts w:ascii="Wingdings" w:hAnsi="Wingdings" w:hint="default"/>
      </w:rPr>
    </w:lvl>
    <w:lvl w:ilvl="6" w:tplc="ECCC0ACE">
      <w:start w:val="1"/>
      <w:numFmt w:val="bullet"/>
      <w:lvlText w:val=""/>
      <w:lvlJc w:val="left"/>
      <w:pPr>
        <w:ind w:left="5040" w:hanging="360"/>
      </w:pPr>
      <w:rPr>
        <w:rFonts w:ascii="Symbol" w:hAnsi="Symbol" w:hint="default"/>
      </w:rPr>
    </w:lvl>
    <w:lvl w:ilvl="7" w:tplc="FA18030C">
      <w:start w:val="1"/>
      <w:numFmt w:val="bullet"/>
      <w:lvlText w:val="o"/>
      <w:lvlJc w:val="left"/>
      <w:pPr>
        <w:ind w:left="5760" w:hanging="360"/>
      </w:pPr>
      <w:rPr>
        <w:rFonts w:ascii="Courier New" w:hAnsi="Courier New" w:hint="default"/>
      </w:rPr>
    </w:lvl>
    <w:lvl w:ilvl="8" w:tplc="2C726412">
      <w:start w:val="1"/>
      <w:numFmt w:val="bullet"/>
      <w:lvlText w:val=""/>
      <w:lvlJc w:val="left"/>
      <w:pPr>
        <w:ind w:left="6480" w:hanging="360"/>
      </w:pPr>
      <w:rPr>
        <w:rFonts w:ascii="Wingdings" w:hAnsi="Wingdings" w:hint="default"/>
      </w:rPr>
    </w:lvl>
  </w:abstractNum>
  <w:abstractNum w:abstractNumId="5" w15:restartNumberingAfterBreak="0">
    <w:nsid w:val="0CF301F4"/>
    <w:multiLevelType w:val="hybridMultilevel"/>
    <w:tmpl w:val="4A6219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77A271"/>
    <w:multiLevelType w:val="hybridMultilevel"/>
    <w:tmpl w:val="6FC8E94E"/>
    <w:lvl w:ilvl="0" w:tplc="FD684B04">
      <w:start w:val="1"/>
      <w:numFmt w:val="bullet"/>
      <w:lvlText w:val="·"/>
      <w:lvlJc w:val="left"/>
      <w:pPr>
        <w:ind w:left="720" w:hanging="360"/>
      </w:pPr>
      <w:rPr>
        <w:rFonts w:ascii="Symbol" w:hAnsi="Symbol" w:hint="default"/>
      </w:rPr>
    </w:lvl>
    <w:lvl w:ilvl="1" w:tplc="7194B87A">
      <w:start w:val="1"/>
      <w:numFmt w:val="bullet"/>
      <w:lvlText w:val="o"/>
      <w:lvlJc w:val="left"/>
      <w:pPr>
        <w:ind w:left="1440" w:hanging="360"/>
      </w:pPr>
      <w:rPr>
        <w:rFonts w:ascii="&quot;Courier New&quot;" w:hAnsi="&quot;Courier New&quot;" w:hint="default"/>
      </w:rPr>
    </w:lvl>
    <w:lvl w:ilvl="2" w:tplc="CA5A93E6">
      <w:start w:val="1"/>
      <w:numFmt w:val="bullet"/>
      <w:lvlText w:val="§"/>
      <w:lvlJc w:val="left"/>
      <w:pPr>
        <w:ind w:left="2160" w:hanging="360"/>
      </w:pPr>
      <w:rPr>
        <w:rFonts w:ascii="Wingdings" w:hAnsi="Wingdings" w:hint="default"/>
      </w:rPr>
    </w:lvl>
    <w:lvl w:ilvl="3" w:tplc="5E3C8910">
      <w:start w:val="1"/>
      <w:numFmt w:val="bullet"/>
      <w:lvlText w:val=""/>
      <w:lvlJc w:val="left"/>
      <w:pPr>
        <w:ind w:left="2880" w:hanging="360"/>
      </w:pPr>
      <w:rPr>
        <w:rFonts w:ascii="Symbol" w:hAnsi="Symbol" w:hint="default"/>
      </w:rPr>
    </w:lvl>
    <w:lvl w:ilvl="4" w:tplc="B770E99C">
      <w:start w:val="1"/>
      <w:numFmt w:val="bullet"/>
      <w:lvlText w:val="o"/>
      <w:lvlJc w:val="left"/>
      <w:pPr>
        <w:ind w:left="3600" w:hanging="360"/>
      </w:pPr>
      <w:rPr>
        <w:rFonts w:ascii="Courier New" w:hAnsi="Courier New" w:hint="default"/>
      </w:rPr>
    </w:lvl>
    <w:lvl w:ilvl="5" w:tplc="AAF2A0F8">
      <w:start w:val="1"/>
      <w:numFmt w:val="bullet"/>
      <w:lvlText w:val=""/>
      <w:lvlJc w:val="left"/>
      <w:pPr>
        <w:ind w:left="4320" w:hanging="360"/>
      </w:pPr>
      <w:rPr>
        <w:rFonts w:ascii="Wingdings" w:hAnsi="Wingdings" w:hint="default"/>
      </w:rPr>
    </w:lvl>
    <w:lvl w:ilvl="6" w:tplc="C770CC1A">
      <w:start w:val="1"/>
      <w:numFmt w:val="bullet"/>
      <w:lvlText w:val=""/>
      <w:lvlJc w:val="left"/>
      <w:pPr>
        <w:ind w:left="5040" w:hanging="360"/>
      </w:pPr>
      <w:rPr>
        <w:rFonts w:ascii="Symbol" w:hAnsi="Symbol" w:hint="default"/>
      </w:rPr>
    </w:lvl>
    <w:lvl w:ilvl="7" w:tplc="80D03708">
      <w:start w:val="1"/>
      <w:numFmt w:val="bullet"/>
      <w:lvlText w:val="o"/>
      <w:lvlJc w:val="left"/>
      <w:pPr>
        <w:ind w:left="5760" w:hanging="360"/>
      </w:pPr>
      <w:rPr>
        <w:rFonts w:ascii="Courier New" w:hAnsi="Courier New" w:hint="default"/>
      </w:rPr>
    </w:lvl>
    <w:lvl w:ilvl="8" w:tplc="986E3574">
      <w:start w:val="1"/>
      <w:numFmt w:val="bullet"/>
      <w:lvlText w:val=""/>
      <w:lvlJc w:val="left"/>
      <w:pPr>
        <w:ind w:left="6480" w:hanging="360"/>
      </w:pPr>
      <w:rPr>
        <w:rFonts w:ascii="Wingdings" w:hAnsi="Wingdings" w:hint="default"/>
      </w:rPr>
    </w:lvl>
  </w:abstractNum>
  <w:abstractNum w:abstractNumId="7" w15:restartNumberingAfterBreak="0">
    <w:nsid w:val="153C10F6"/>
    <w:multiLevelType w:val="hybridMultilevel"/>
    <w:tmpl w:val="8D72D7DA"/>
    <w:lvl w:ilvl="0" w:tplc="6C9E4752">
      <w:start w:val="1"/>
      <w:numFmt w:val="bullet"/>
      <w:lvlText w:val=""/>
      <w:lvlJc w:val="left"/>
      <w:pPr>
        <w:ind w:left="720" w:hanging="360"/>
      </w:pPr>
      <w:rPr>
        <w:rFonts w:ascii="Symbol" w:hAnsi="Symbol" w:hint="default"/>
      </w:rPr>
    </w:lvl>
    <w:lvl w:ilvl="1" w:tplc="8AC40626">
      <w:start w:val="1"/>
      <w:numFmt w:val="bullet"/>
      <w:lvlText w:val="o"/>
      <w:lvlJc w:val="left"/>
      <w:pPr>
        <w:ind w:left="1440" w:hanging="360"/>
      </w:pPr>
      <w:rPr>
        <w:rFonts w:ascii="Courier New" w:hAnsi="Courier New" w:hint="default"/>
      </w:rPr>
    </w:lvl>
    <w:lvl w:ilvl="2" w:tplc="60D09C6A">
      <w:start w:val="1"/>
      <w:numFmt w:val="bullet"/>
      <w:lvlText w:val=""/>
      <w:lvlJc w:val="left"/>
      <w:pPr>
        <w:ind w:left="2160" w:hanging="360"/>
      </w:pPr>
      <w:rPr>
        <w:rFonts w:ascii="Wingdings" w:hAnsi="Wingdings" w:hint="default"/>
      </w:rPr>
    </w:lvl>
    <w:lvl w:ilvl="3" w:tplc="2C6CAAA8">
      <w:start w:val="1"/>
      <w:numFmt w:val="bullet"/>
      <w:lvlText w:val=""/>
      <w:lvlJc w:val="left"/>
      <w:pPr>
        <w:ind w:left="2880" w:hanging="360"/>
      </w:pPr>
      <w:rPr>
        <w:rFonts w:ascii="Symbol" w:hAnsi="Symbol" w:hint="default"/>
      </w:rPr>
    </w:lvl>
    <w:lvl w:ilvl="4" w:tplc="6D108D6A">
      <w:start w:val="1"/>
      <w:numFmt w:val="bullet"/>
      <w:lvlText w:val="o"/>
      <w:lvlJc w:val="left"/>
      <w:pPr>
        <w:ind w:left="3600" w:hanging="360"/>
      </w:pPr>
      <w:rPr>
        <w:rFonts w:ascii="Courier New" w:hAnsi="Courier New" w:hint="default"/>
      </w:rPr>
    </w:lvl>
    <w:lvl w:ilvl="5" w:tplc="A888E8F6">
      <w:start w:val="1"/>
      <w:numFmt w:val="bullet"/>
      <w:lvlText w:val=""/>
      <w:lvlJc w:val="left"/>
      <w:pPr>
        <w:ind w:left="4320" w:hanging="360"/>
      </w:pPr>
      <w:rPr>
        <w:rFonts w:ascii="Wingdings" w:hAnsi="Wingdings" w:hint="default"/>
      </w:rPr>
    </w:lvl>
    <w:lvl w:ilvl="6" w:tplc="AAFC1330">
      <w:start w:val="1"/>
      <w:numFmt w:val="bullet"/>
      <w:lvlText w:val=""/>
      <w:lvlJc w:val="left"/>
      <w:pPr>
        <w:ind w:left="5040" w:hanging="360"/>
      </w:pPr>
      <w:rPr>
        <w:rFonts w:ascii="Symbol" w:hAnsi="Symbol" w:hint="default"/>
      </w:rPr>
    </w:lvl>
    <w:lvl w:ilvl="7" w:tplc="85466C66">
      <w:start w:val="1"/>
      <w:numFmt w:val="bullet"/>
      <w:lvlText w:val="o"/>
      <w:lvlJc w:val="left"/>
      <w:pPr>
        <w:ind w:left="5760" w:hanging="360"/>
      </w:pPr>
      <w:rPr>
        <w:rFonts w:ascii="Courier New" w:hAnsi="Courier New" w:hint="default"/>
      </w:rPr>
    </w:lvl>
    <w:lvl w:ilvl="8" w:tplc="210AE970">
      <w:start w:val="1"/>
      <w:numFmt w:val="bullet"/>
      <w:lvlText w:val=""/>
      <w:lvlJc w:val="left"/>
      <w:pPr>
        <w:ind w:left="6480" w:hanging="360"/>
      </w:pPr>
      <w:rPr>
        <w:rFonts w:ascii="Wingdings" w:hAnsi="Wingdings" w:hint="default"/>
      </w:rPr>
    </w:lvl>
  </w:abstractNum>
  <w:abstractNum w:abstractNumId="8" w15:restartNumberingAfterBreak="0">
    <w:nsid w:val="165E5740"/>
    <w:multiLevelType w:val="hybridMultilevel"/>
    <w:tmpl w:val="D3D88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0F099C"/>
    <w:multiLevelType w:val="hybridMultilevel"/>
    <w:tmpl w:val="C9CAF7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7CCF58"/>
    <w:multiLevelType w:val="hybridMultilevel"/>
    <w:tmpl w:val="9A6E06D4"/>
    <w:lvl w:ilvl="0" w:tplc="6C7082F2">
      <w:start w:val="1"/>
      <w:numFmt w:val="bullet"/>
      <w:lvlText w:val=""/>
      <w:lvlJc w:val="left"/>
      <w:pPr>
        <w:ind w:left="720" w:hanging="360"/>
      </w:pPr>
      <w:rPr>
        <w:rFonts w:ascii="Symbol" w:hAnsi="Symbol" w:hint="default"/>
      </w:rPr>
    </w:lvl>
    <w:lvl w:ilvl="1" w:tplc="077C5B52">
      <w:start w:val="1"/>
      <w:numFmt w:val="bullet"/>
      <w:lvlText w:val="o"/>
      <w:lvlJc w:val="left"/>
      <w:pPr>
        <w:ind w:left="1440" w:hanging="360"/>
      </w:pPr>
      <w:rPr>
        <w:rFonts w:ascii="Courier New" w:hAnsi="Courier New" w:hint="default"/>
      </w:rPr>
    </w:lvl>
    <w:lvl w:ilvl="2" w:tplc="C58C1A22">
      <w:start w:val="1"/>
      <w:numFmt w:val="bullet"/>
      <w:lvlText w:val=""/>
      <w:lvlJc w:val="left"/>
      <w:pPr>
        <w:ind w:left="2160" w:hanging="360"/>
      </w:pPr>
      <w:rPr>
        <w:rFonts w:ascii="Wingdings" w:hAnsi="Wingdings" w:hint="default"/>
      </w:rPr>
    </w:lvl>
    <w:lvl w:ilvl="3" w:tplc="123E22C6">
      <w:start w:val="1"/>
      <w:numFmt w:val="bullet"/>
      <w:lvlText w:val=""/>
      <w:lvlJc w:val="left"/>
      <w:pPr>
        <w:ind w:left="2880" w:hanging="360"/>
      </w:pPr>
      <w:rPr>
        <w:rFonts w:ascii="Symbol" w:hAnsi="Symbol" w:hint="default"/>
      </w:rPr>
    </w:lvl>
    <w:lvl w:ilvl="4" w:tplc="7F206BD6">
      <w:start w:val="1"/>
      <w:numFmt w:val="bullet"/>
      <w:lvlText w:val="o"/>
      <w:lvlJc w:val="left"/>
      <w:pPr>
        <w:ind w:left="3600" w:hanging="360"/>
      </w:pPr>
      <w:rPr>
        <w:rFonts w:ascii="Courier New" w:hAnsi="Courier New" w:hint="default"/>
      </w:rPr>
    </w:lvl>
    <w:lvl w:ilvl="5" w:tplc="803E5E04">
      <w:start w:val="1"/>
      <w:numFmt w:val="bullet"/>
      <w:lvlText w:val=""/>
      <w:lvlJc w:val="left"/>
      <w:pPr>
        <w:ind w:left="4320" w:hanging="360"/>
      </w:pPr>
      <w:rPr>
        <w:rFonts w:ascii="Wingdings" w:hAnsi="Wingdings" w:hint="default"/>
      </w:rPr>
    </w:lvl>
    <w:lvl w:ilvl="6" w:tplc="2B1299BE">
      <w:start w:val="1"/>
      <w:numFmt w:val="bullet"/>
      <w:lvlText w:val=""/>
      <w:lvlJc w:val="left"/>
      <w:pPr>
        <w:ind w:left="5040" w:hanging="360"/>
      </w:pPr>
      <w:rPr>
        <w:rFonts w:ascii="Symbol" w:hAnsi="Symbol" w:hint="default"/>
      </w:rPr>
    </w:lvl>
    <w:lvl w:ilvl="7" w:tplc="750CAA4A">
      <w:start w:val="1"/>
      <w:numFmt w:val="bullet"/>
      <w:lvlText w:val="o"/>
      <w:lvlJc w:val="left"/>
      <w:pPr>
        <w:ind w:left="5760" w:hanging="360"/>
      </w:pPr>
      <w:rPr>
        <w:rFonts w:ascii="Courier New" w:hAnsi="Courier New" w:hint="default"/>
      </w:rPr>
    </w:lvl>
    <w:lvl w:ilvl="8" w:tplc="4CDE5BB8">
      <w:start w:val="1"/>
      <w:numFmt w:val="bullet"/>
      <w:lvlText w:val=""/>
      <w:lvlJc w:val="left"/>
      <w:pPr>
        <w:ind w:left="6480" w:hanging="360"/>
      </w:pPr>
      <w:rPr>
        <w:rFonts w:ascii="Wingdings" w:hAnsi="Wingdings" w:hint="default"/>
      </w:rPr>
    </w:lvl>
  </w:abstractNum>
  <w:abstractNum w:abstractNumId="11" w15:restartNumberingAfterBreak="0">
    <w:nsid w:val="22DF04A9"/>
    <w:multiLevelType w:val="hybridMultilevel"/>
    <w:tmpl w:val="DE2E4A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8E1F13"/>
    <w:multiLevelType w:val="hybridMultilevel"/>
    <w:tmpl w:val="22BCF94E"/>
    <w:lvl w:ilvl="0" w:tplc="BCB29D44">
      <w:start w:val="1"/>
      <w:numFmt w:val="bullet"/>
      <w:lvlText w:val="·"/>
      <w:lvlJc w:val="left"/>
      <w:pPr>
        <w:ind w:left="720" w:hanging="360"/>
      </w:pPr>
      <w:rPr>
        <w:rFonts w:ascii="Symbol" w:hAnsi="Symbol" w:hint="default"/>
      </w:rPr>
    </w:lvl>
    <w:lvl w:ilvl="1" w:tplc="CCC08E50">
      <w:start w:val="1"/>
      <w:numFmt w:val="bullet"/>
      <w:lvlText w:val="o"/>
      <w:lvlJc w:val="left"/>
      <w:pPr>
        <w:ind w:left="1440" w:hanging="360"/>
      </w:pPr>
      <w:rPr>
        <w:rFonts w:ascii="Courier New" w:hAnsi="Courier New" w:hint="default"/>
      </w:rPr>
    </w:lvl>
    <w:lvl w:ilvl="2" w:tplc="0EB82E0C">
      <w:start w:val="1"/>
      <w:numFmt w:val="bullet"/>
      <w:lvlText w:val=""/>
      <w:lvlJc w:val="left"/>
      <w:pPr>
        <w:ind w:left="2160" w:hanging="360"/>
      </w:pPr>
      <w:rPr>
        <w:rFonts w:ascii="Wingdings" w:hAnsi="Wingdings" w:hint="default"/>
      </w:rPr>
    </w:lvl>
    <w:lvl w:ilvl="3" w:tplc="12606710">
      <w:start w:val="1"/>
      <w:numFmt w:val="bullet"/>
      <w:lvlText w:val=""/>
      <w:lvlJc w:val="left"/>
      <w:pPr>
        <w:ind w:left="2880" w:hanging="360"/>
      </w:pPr>
      <w:rPr>
        <w:rFonts w:ascii="Symbol" w:hAnsi="Symbol" w:hint="default"/>
      </w:rPr>
    </w:lvl>
    <w:lvl w:ilvl="4" w:tplc="64F81016">
      <w:start w:val="1"/>
      <w:numFmt w:val="bullet"/>
      <w:lvlText w:val="o"/>
      <w:lvlJc w:val="left"/>
      <w:pPr>
        <w:ind w:left="3600" w:hanging="360"/>
      </w:pPr>
      <w:rPr>
        <w:rFonts w:ascii="Courier New" w:hAnsi="Courier New" w:hint="default"/>
      </w:rPr>
    </w:lvl>
    <w:lvl w:ilvl="5" w:tplc="84F645BC">
      <w:start w:val="1"/>
      <w:numFmt w:val="bullet"/>
      <w:lvlText w:val=""/>
      <w:lvlJc w:val="left"/>
      <w:pPr>
        <w:ind w:left="4320" w:hanging="360"/>
      </w:pPr>
      <w:rPr>
        <w:rFonts w:ascii="Wingdings" w:hAnsi="Wingdings" w:hint="default"/>
      </w:rPr>
    </w:lvl>
    <w:lvl w:ilvl="6" w:tplc="90AC9AF4">
      <w:start w:val="1"/>
      <w:numFmt w:val="bullet"/>
      <w:lvlText w:val=""/>
      <w:lvlJc w:val="left"/>
      <w:pPr>
        <w:ind w:left="5040" w:hanging="360"/>
      </w:pPr>
      <w:rPr>
        <w:rFonts w:ascii="Symbol" w:hAnsi="Symbol" w:hint="default"/>
      </w:rPr>
    </w:lvl>
    <w:lvl w:ilvl="7" w:tplc="25B6231C">
      <w:start w:val="1"/>
      <w:numFmt w:val="bullet"/>
      <w:lvlText w:val="o"/>
      <w:lvlJc w:val="left"/>
      <w:pPr>
        <w:ind w:left="5760" w:hanging="360"/>
      </w:pPr>
      <w:rPr>
        <w:rFonts w:ascii="Courier New" w:hAnsi="Courier New" w:hint="default"/>
      </w:rPr>
    </w:lvl>
    <w:lvl w:ilvl="8" w:tplc="5FEEAFB6">
      <w:start w:val="1"/>
      <w:numFmt w:val="bullet"/>
      <w:lvlText w:val=""/>
      <w:lvlJc w:val="left"/>
      <w:pPr>
        <w:ind w:left="6480" w:hanging="360"/>
      </w:pPr>
      <w:rPr>
        <w:rFonts w:ascii="Wingdings" w:hAnsi="Wingdings" w:hint="default"/>
      </w:rPr>
    </w:lvl>
  </w:abstractNum>
  <w:abstractNum w:abstractNumId="13" w15:restartNumberingAfterBreak="0">
    <w:nsid w:val="2BE57048"/>
    <w:multiLevelType w:val="hybridMultilevel"/>
    <w:tmpl w:val="C3EE028C"/>
    <w:lvl w:ilvl="0" w:tplc="1B6EB46A">
      <w:start w:val="1"/>
      <w:numFmt w:val="bullet"/>
      <w:lvlText w:val="·"/>
      <w:lvlJc w:val="left"/>
      <w:pPr>
        <w:ind w:left="720" w:hanging="360"/>
      </w:pPr>
      <w:rPr>
        <w:rFonts w:ascii="Symbol" w:hAnsi="Symbol" w:hint="default"/>
      </w:rPr>
    </w:lvl>
    <w:lvl w:ilvl="1" w:tplc="DD163FB8">
      <w:start w:val="1"/>
      <w:numFmt w:val="bullet"/>
      <w:lvlText w:val="o"/>
      <w:lvlJc w:val="left"/>
      <w:pPr>
        <w:ind w:left="1440" w:hanging="360"/>
      </w:pPr>
      <w:rPr>
        <w:rFonts w:ascii="Courier New" w:hAnsi="Courier New" w:hint="default"/>
      </w:rPr>
    </w:lvl>
    <w:lvl w:ilvl="2" w:tplc="DAC675F0">
      <w:start w:val="1"/>
      <w:numFmt w:val="bullet"/>
      <w:lvlText w:val=""/>
      <w:lvlJc w:val="left"/>
      <w:pPr>
        <w:ind w:left="2160" w:hanging="360"/>
      </w:pPr>
      <w:rPr>
        <w:rFonts w:ascii="Wingdings" w:hAnsi="Wingdings" w:hint="default"/>
      </w:rPr>
    </w:lvl>
    <w:lvl w:ilvl="3" w:tplc="119843BA">
      <w:start w:val="1"/>
      <w:numFmt w:val="bullet"/>
      <w:lvlText w:val=""/>
      <w:lvlJc w:val="left"/>
      <w:pPr>
        <w:ind w:left="2880" w:hanging="360"/>
      </w:pPr>
      <w:rPr>
        <w:rFonts w:ascii="Symbol" w:hAnsi="Symbol" w:hint="default"/>
      </w:rPr>
    </w:lvl>
    <w:lvl w:ilvl="4" w:tplc="B2DAC2B4">
      <w:start w:val="1"/>
      <w:numFmt w:val="bullet"/>
      <w:lvlText w:val="o"/>
      <w:lvlJc w:val="left"/>
      <w:pPr>
        <w:ind w:left="3600" w:hanging="360"/>
      </w:pPr>
      <w:rPr>
        <w:rFonts w:ascii="Courier New" w:hAnsi="Courier New" w:hint="default"/>
      </w:rPr>
    </w:lvl>
    <w:lvl w:ilvl="5" w:tplc="1C9AA71C">
      <w:start w:val="1"/>
      <w:numFmt w:val="bullet"/>
      <w:lvlText w:val=""/>
      <w:lvlJc w:val="left"/>
      <w:pPr>
        <w:ind w:left="4320" w:hanging="360"/>
      </w:pPr>
      <w:rPr>
        <w:rFonts w:ascii="Wingdings" w:hAnsi="Wingdings" w:hint="default"/>
      </w:rPr>
    </w:lvl>
    <w:lvl w:ilvl="6" w:tplc="6EE02AEA">
      <w:start w:val="1"/>
      <w:numFmt w:val="bullet"/>
      <w:lvlText w:val=""/>
      <w:lvlJc w:val="left"/>
      <w:pPr>
        <w:ind w:left="5040" w:hanging="360"/>
      </w:pPr>
      <w:rPr>
        <w:rFonts w:ascii="Symbol" w:hAnsi="Symbol" w:hint="default"/>
      </w:rPr>
    </w:lvl>
    <w:lvl w:ilvl="7" w:tplc="DDF0033A">
      <w:start w:val="1"/>
      <w:numFmt w:val="bullet"/>
      <w:lvlText w:val="o"/>
      <w:lvlJc w:val="left"/>
      <w:pPr>
        <w:ind w:left="5760" w:hanging="360"/>
      </w:pPr>
      <w:rPr>
        <w:rFonts w:ascii="Courier New" w:hAnsi="Courier New" w:hint="default"/>
      </w:rPr>
    </w:lvl>
    <w:lvl w:ilvl="8" w:tplc="2B129C92">
      <w:start w:val="1"/>
      <w:numFmt w:val="bullet"/>
      <w:lvlText w:val=""/>
      <w:lvlJc w:val="left"/>
      <w:pPr>
        <w:ind w:left="6480" w:hanging="360"/>
      </w:pPr>
      <w:rPr>
        <w:rFonts w:ascii="Wingdings" w:hAnsi="Wingdings" w:hint="default"/>
      </w:rPr>
    </w:lvl>
  </w:abstractNum>
  <w:abstractNum w:abstractNumId="14" w15:restartNumberingAfterBreak="0">
    <w:nsid w:val="3072A2EE"/>
    <w:multiLevelType w:val="hybridMultilevel"/>
    <w:tmpl w:val="9BEAC786"/>
    <w:lvl w:ilvl="0" w:tplc="FAD6904C">
      <w:start w:val="1"/>
      <w:numFmt w:val="decimal"/>
      <w:lvlText w:val="%1."/>
      <w:lvlJc w:val="left"/>
      <w:pPr>
        <w:ind w:left="720" w:hanging="360"/>
      </w:pPr>
    </w:lvl>
    <w:lvl w:ilvl="1" w:tplc="58DAFB8E">
      <w:start w:val="1"/>
      <w:numFmt w:val="lowerLetter"/>
      <w:lvlText w:val="%2."/>
      <w:lvlJc w:val="left"/>
      <w:pPr>
        <w:ind w:left="1440" w:hanging="360"/>
      </w:pPr>
    </w:lvl>
    <w:lvl w:ilvl="2" w:tplc="394A2EE6">
      <w:start w:val="1"/>
      <w:numFmt w:val="lowerRoman"/>
      <w:lvlText w:val="%3."/>
      <w:lvlJc w:val="right"/>
      <w:pPr>
        <w:ind w:left="2160" w:hanging="180"/>
      </w:pPr>
    </w:lvl>
    <w:lvl w:ilvl="3" w:tplc="92D6A2BA">
      <w:start w:val="1"/>
      <w:numFmt w:val="decimal"/>
      <w:lvlText w:val="%4."/>
      <w:lvlJc w:val="left"/>
      <w:pPr>
        <w:ind w:left="2880" w:hanging="360"/>
      </w:pPr>
    </w:lvl>
    <w:lvl w:ilvl="4" w:tplc="59BC03EA">
      <w:start w:val="1"/>
      <w:numFmt w:val="lowerLetter"/>
      <w:lvlText w:val="%5."/>
      <w:lvlJc w:val="left"/>
      <w:pPr>
        <w:ind w:left="3600" w:hanging="360"/>
      </w:pPr>
    </w:lvl>
    <w:lvl w:ilvl="5" w:tplc="7D1C327E">
      <w:start w:val="1"/>
      <w:numFmt w:val="lowerRoman"/>
      <w:lvlText w:val="%6."/>
      <w:lvlJc w:val="right"/>
      <w:pPr>
        <w:ind w:left="4320" w:hanging="180"/>
      </w:pPr>
    </w:lvl>
    <w:lvl w:ilvl="6" w:tplc="9288F616">
      <w:start w:val="1"/>
      <w:numFmt w:val="decimal"/>
      <w:lvlText w:val="%7."/>
      <w:lvlJc w:val="left"/>
      <w:pPr>
        <w:ind w:left="5040" w:hanging="360"/>
      </w:pPr>
    </w:lvl>
    <w:lvl w:ilvl="7" w:tplc="42A2CEDA">
      <w:start w:val="1"/>
      <w:numFmt w:val="lowerLetter"/>
      <w:lvlText w:val="%8."/>
      <w:lvlJc w:val="left"/>
      <w:pPr>
        <w:ind w:left="5760" w:hanging="360"/>
      </w:pPr>
    </w:lvl>
    <w:lvl w:ilvl="8" w:tplc="100CF472">
      <w:start w:val="1"/>
      <w:numFmt w:val="lowerRoman"/>
      <w:lvlText w:val="%9."/>
      <w:lvlJc w:val="right"/>
      <w:pPr>
        <w:ind w:left="6480" w:hanging="180"/>
      </w:pPr>
    </w:lvl>
  </w:abstractNum>
  <w:abstractNum w:abstractNumId="15" w15:restartNumberingAfterBreak="0">
    <w:nsid w:val="31BA9A7E"/>
    <w:multiLevelType w:val="hybridMultilevel"/>
    <w:tmpl w:val="76AAEB5C"/>
    <w:lvl w:ilvl="0" w:tplc="A7060BF0">
      <w:start w:val="1"/>
      <w:numFmt w:val="bullet"/>
      <w:lvlText w:val=""/>
      <w:lvlJc w:val="left"/>
      <w:pPr>
        <w:ind w:left="720" w:hanging="360"/>
      </w:pPr>
      <w:rPr>
        <w:rFonts w:ascii="Symbol" w:hAnsi="Symbol" w:hint="default"/>
      </w:rPr>
    </w:lvl>
    <w:lvl w:ilvl="1" w:tplc="58F2B042">
      <w:start w:val="1"/>
      <w:numFmt w:val="bullet"/>
      <w:lvlText w:val="o"/>
      <w:lvlJc w:val="left"/>
      <w:pPr>
        <w:ind w:left="1440" w:hanging="360"/>
      </w:pPr>
      <w:rPr>
        <w:rFonts w:ascii="Courier New" w:hAnsi="Courier New" w:hint="default"/>
      </w:rPr>
    </w:lvl>
    <w:lvl w:ilvl="2" w:tplc="6DAE4B38">
      <w:start w:val="1"/>
      <w:numFmt w:val="bullet"/>
      <w:lvlText w:val=""/>
      <w:lvlJc w:val="left"/>
      <w:pPr>
        <w:ind w:left="2160" w:hanging="360"/>
      </w:pPr>
      <w:rPr>
        <w:rFonts w:ascii="Wingdings" w:hAnsi="Wingdings" w:hint="default"/>
      </w:rPr>
    </w:lvl>
    <w:lvl w:ilvl="3" w:tplc="32B6DB1E">
      <w:start w:val="1"/>
      <w:numFmt w:val="bullet"/>
      <w:lvlText w:val=""/>
      <w:lvlJc w:val="left"/>
      <w:pPr>
        <w:ind w:left="2880" w:hanging="360"/>
      </w:pPr>
      <w:rPr>
        <w:rFonts w:ascii="Symbol" w:hAnsi="Symbol" w:hint="default"/>
      </w:rPr>
    </w:lvl>
    <w:lvl w:ilvl="4" w:tplc="BCD86174">
      <w:start w:val="1"/>
      <w:numFmt w:val="bullet"/>
      <w:lvlText w:val="o"/>
      <w:lvlJc w:val="left"/>
      <w:pPr>
        <w:ind w:left="3600" w:hanging="360"/>
      </w:pPr>
      <w:rPr>
        <w:rFonts w:ascii="Courier New" w:hAnsi="Courier New" w:hint="default"/>
      </w:rPr>
    </w:lvl>
    <w:lvl w:ilvl="5" w:tplc="2CF8A0D2">
      <w:start w:val="1"/>
      <w:numFmt w:val="bullet"/>
      <w:lvlText w:val=""/>
      <w:lvlJc w:val="left"/>
      <w:pPr>
        <w:ind w:left="4320" w:hanging="360"/>
      </w:pPr>
      <w:rPr>
        <w:rFonts w:ascii="Wingdings" w:hAnsi="Wingdings" w:hint="default"/>
      </w:rPr>
    </w:lvl>
    <w:lvl w:ilvl="6" w:tplc="40E61F10">
      <w:start w:val="1"/>
      <w:numFmt w:val="bullet"/>
      <w:lvlText w:val=""/>
      <w:lvlJc w:val="left"/>
      <w:pPr>
        <w:ind w:left="5040" w:hanging="360"/>
      </w:pPr>
      <w:rPr>
        <w:rFonts w:ascii="Symbol" w:hAnsi="Symbol" w:hint="default"/>
      </w:rPr>
    </w:lvl>
    <w:lvl w:ilvl="7" w:tplc="28CC63E2">
      <w:start w:val="1"/>
      <w:numFmt w:val="bullet"/>
      <w:lvlText w:val="o"/>
      <w:lvlJc w:val="left"/>
      <w:pPr>
        <w:ind w:left="5760" w:hanging="360"/>
      </w:pPr>
      <w:rPr>
        <w:rFonts w:ascii="Courier New" w:hAnsi="Courier New" w:hint="default"/>
      </w:rPr>
    </w:lvl>
    <w:lvl w:ilvl="8" w:tplc="35FA2EB4">
      <w:start w:val="1"/>
      <w:numFmt w:val="bullet"/>
      <w:lvlText w:val=""/>
      <w:lvlJc w:val="left"/>
      <w:pPr>
        <w:ind w:left="6480" w:hanging="360"/>
      </w:pPr>
      <w:rPr>
        <w:rFonts w:ascii="Wingdings" w:hAnsi="Wingdings" w:hint="default"/>
      </w:rPr>
    </w:lvl>
  </w:abstractNum>
  <w:abstractNum w:abstractNumId="16" w15:restartNumberingAfterBreak="0">
    <w:nsid w:val="33545625"/>
    <w:multiLevelType w:val="hybridMultilevel"/>
    <w:tmpl w:val="09569B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BC05F8"/>
    <w:multiLevelType w:val="hybridMultilevel"/>
    <w:tmpl w:val="FDB81A12"/>
    <w:lvl w:ilvl="0" w:tplc="9B9A12BC">
      <w:start w:val="1"/>
      <w:numFmt w:val="bullet"/>
      <w:lvlText w:val=""/>
      <w:lvlJc w:val="left"/>
      <w:pPr>
        <w:ind w:left="720" w:hanging="360"/>
      </w:pPr>
      <w:rPr>
        <w:rFonts w:ascii="Symbol" w:hAnsi="Symbol" w:hint="default"/>
      </w:rPr>
    </w:lvl>
    <w:lvl w:ilvl="1" w:tplc="FD9AB91E">
      <w:start w:val="1"/>
      <w:numFmt w:val="bullet"/>
      <w:lvlText w:val="o"/>
      <w:lvlJc w:val="left"/>
      <w:pPr>
        <w:ind w:left="1440" w:hanging="360"/>
      </w:pPr>
      <w:rPr>
        <w:rFonts w:ascii="Courier New" w:hAnsi="Courier New" w:hint="default"/>
      </w:rPr>
    </w:lvl>
    <w:lvl w:ilvl="2" w:tplc="6CCEB008">
      <w:start w:val="1"/>
      <w:numFmt w:val="bullet"/>
      <w:lvlText w:val=""/>
      <w:lvlJc w:val="left"/>
      <w:pPr>
        <w:ind w:left="2160" w:hanging="360"/>
      </w:pPr>
      <w:rPr>
        <w:rFonts w:ascii="Wingdings" w:hAnsi="Wingdings" w:hint="default"/>
      </w:rPr>
    </w:lvl>
    <w:lvl w:ilvl="3" w:tplc="D65C1224">
      <w:start w:val="1"/>
      <w:numFmt w:val="bullet"/>
      <w:lvlText w:val=""/>
      <w:lvlJc w:val="left"/>
      <w:pPr>
        <w:ind w:left="2880" w:hanging="360"/>
      </w:pPr>
      <w:rPr>
        <w:rFonts w:ascii="Symbol" w:hAnsi="Symbol" w:hint="default"/>
      </w:rPr>
    </w:lvl>
    <w:lvl w:ilvl="4" w:tplc="4124667A">
      <w:start w:val="1"/>
      <w:numFmt w:val="bullet"/>
      <w:lvlText w:val="o"/>
      <w:lvlJc w:val="left"/>
      <w:pPr>
        <w:ind w:left="3600" w:hanging="360"/>
      </w:pPr>
      <w:rPr>
        <w:rFonts w:ascii="Courier New" w:hAnsi="Courier New" w:hint="default"/>
      </w:rPr>
    </w:lvl>
    <w:lvl w:ilvl="5" w:tplc="EB166FC8">
      <w:start w:val="1"/>
      <w:numFmt w:val="bullet"/>
      <w:lvlText w:val=""/>
      <w:lvlJc w:val="left"/>
      <w:pPr>
        <w:ind w:left="4320" w:hanging="360"/>
      </w:pPr>
      <w:rPr>
        <w:rFonts w:ascii="Wingdings" w:hAnsi="Wingdings" w:hint="default"/>
      </w:rPr>
    </w:lvl>
    <w:lvl w:ilvl="6" w:tplc="E302578C">
      <w:start w:val="1"/>
      <w:numFmt w:val="bullet"/>
      <w:lvlText w:val=""/>
      <w:lvlJc w:val="left"/>
      <w:pPr>
        <w:ind w:left="5040" w:hanging="360"/>
      </w:pPr>
      <w:rPr>
        <w:rFonts w:ascii="Symbol" w:hAnsi="Symbol" w:hint="default"/>
      </w:rPr>
    </w:lvl>
    <w:lvl w:ilvl="7" w:tplc="0A7A36D8">
      <w:start w:val="1"/>
      <w:numFmt w:val="bullet"/>
      <w:lvlText w:val="o"/>
      <w:lvlJc w:val="left"/>
      <w:pPr>
        <w:ind w:left="5760" w:hanging="360"/>
      </w:pPr>
      <w:rPr>
        <w:rFonts w:ascii="Courier New" w:hAnsi="Courier New" w:hint="default"/>
      </w:rPr>
    </w:lvl>
    <w:lvl w:ilvl="8" w:tplc="67CEA136">
      <w:start w:val="1"/>
      <w:numFmt w:val="bullet"/>
      <w:lvlText w:val=""/>
      <w:lvlJc w:val="left"/>
      <w:pPr>
        <w:ind w:left="6480" w:hanging="360"/>
      </w:pPr>
      <w:rPr>
        <w:rFonts w:ascii="Wingdings" w:hAnsi="Wingdings" w:hint="default"/>
      </w:rPr>
    </w:lvl>
  </w:abstractNum>
  <w:abstractNum w:abstractNumId="18" w15:restartNumberingAfterBreak="0">
    <w:nsid w:val="487E5C69"/>
    <w:multiLevelType w:val="hybridMultilevel"/>
    <w:tmpl w:val="EB2A6416"/>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28193C"/>
    <w:multiLevelType w:val="hybridMultilevel"/>
    <w:tmpl w:val="87262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E62AE9"/>
    <w:multiLevelType w:val="hybridMultilevel"/>
    <w:tmpl w:val="8BB06D76"/>
    <w:lvl w:ilvl="0" w:tplc="04090001">
      <w:start w:val="1"/>
      <w:numFmt w:val="bullet"/>
      <w:lvlText w:val=""/>
      <w:lvlJc w:val="left"/>
      <w:pPr>
        <w:ind w:left="720" w:hanging="360"/>
      </w:pPr>
      <w:rPr>
        <w:rFonts w:ascii="Symbol" w:hAnsi="Symbol" w:hint="default"/>
      </w:rPr>
    </w:lvl>
    <w:lvl w:ilvl="1" w:tplc="E99225CC">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FF3F2D"/>
    <w:multiLevelType w:val="hybridMultilevel"/>
    <w:tmpl w:val="B4CEF114"/>
    <w:lvl w:ilvl="0" w:tplc="4E488502">
      <w:start w:val="1"/>
      <w:numFmt w:val="bullet"/>
      <w:lvlText w:val=""/>
      <w:lvlJc w:val="left"/>
      <w:pPr>
        <w:ind w:left="720" w:hanging="360"/>
      </w:pPr>
      <w:rPr>
        <w:rFonts w:ascii="Symbol" w:hAnsi="Symbol" w:hint="default"/>
      </w:rPr>
    </w:lvl>
    <w:lvl w:ilvl="1" w:tplc="14020534">
      <w:start w:val="1"/>
      <w:numFmt w:val="bullet"/>
      <w:lvlText w:val="o"/>
      <w:lvlJc w:val="left"/>
      <w:pPr>
        <w:ind w:left="1440" w:hanging="360"/>
      </w:pPr>
      <w:rPr>
        <w:rFonts w:ascii="Courier New" w:hAnsi="Courier New" w:hint="default"/>
      </w:rPr>
    </w:lvl>
    <w:lvl w:ilvl="2" w:tplc="0E1231A2">
      <w:start w:val="1"/>
      <w:numFmt w:val="bullet"/>
      <w:lvlText w:val=""/>
      <w:lvlJc w:val="left"/>
      <w:pPr>
        <w:ind w:left="2160" w:hanging="360"/>
      </w:pPr>
      <w:rPr>
        <w:rFonts w:ascii="Wingdings" w:hAnsi="Wingdings" w:hint="default"/>
      </w:rPr>
    </w:lvl>
    <w:lvl w:ilvl="3" w:tplc="91D05C82">
      <w:start w:val="1"/>
      <w:numFmt w:val="bullet"/>
      <w:lvlText w:val=""/>
      <w:lvlJc w:val="left"/>
      <w:pPr>
        <w:ind w:left="2880" w:hanging="360"/>
      </w:pPr>
      <w:rPr>
        <w:rFonts w:ascii="Symbol" w:hAnsi="Symbol" w:hint="default"/>
      </w:rPr>
    </w:lvl>
    <w:lvl w:ilvl="4" w:tplc="4752A424">
      <w:start w:val="1"/>
      <w:numFmt w:val="bullet"/>
      <w:lvlText w:val="o"/>
      <w:lvlJc w:val="left"/>
      <w:pPr>
        <w:ind w:left="3600" w:hanging="360"/>
      </w:pPr>
      <w:rPr>
        <w:rFonts w:ascii="Courier New" w:hAnsi="Courier New" w:hint="default"/>
      </w:rPr>
    </w:lvl>
    <w:lvl w:ilvl="5" w:tplc="A2A66314">
      <w:start w:val="1"/>
      <w:numFmt w:val="bullet"/>
      <w:lvlText w:val=""/>
      <w:lvlJc w:val="left"/>
      <w:pPr>
        <w:ind w:left="4320" w:hanging="360"/>
      </w:pPr>
      <w:rPr>
        <w:rFonts w:ascii="Wingdings" w:hAnsi="Wingdings" w:hint="default"/>
      </w:rPr>
    </w:lvl>
    <w:lvl w:ilvl="6" w:tplc="61DE17A6">
      <w:start w:val="1"/>
      <w:numFmt w:val="bullet"/>
      <w:lvlText w:val=""/>
      <w:lvlJc w:val="left"/>
      <w:pPr>
        <w:ind w:left="5040" w:hanging="360"/>
      </w:pPr>
      <w:rPr>
        <w:rFonts w:ascii="Symbol" w:hAnsi="Symbol" w:hint="default"/>
      </w:rPr>
    </w:lvl>
    <w:lvl w:ilvl="7" w:tplc="950C6DC2">
      <w:start w:val="1"/>
      <w:numFmt w:val="bullet"/>
      <w:lvlText w:val="o"/>
      <w:lvlJc w:val="left"/>
      <w:pPr>
        <w:ind w:left="5760" w:hanging="360"/>
      </w:pPr>
      <w:rPr>
        <w:rFonts w:ascii="Courier New" w:hAnsi="Courier New" w:hint="default"/>
      </w:rPr>
    </w:lvl>
    <w:lvl w:ilvl="8" w:tplc="474A46BA">
      <w:start w:val="1"/>
      <w:numFmt w:val="bullet"/>
      <w:lvlText w:val=""/>
      <w:lvlJc w:val="left"/>
      <w:pPr>
        <w:ind w:left="6480" w:hanging="360"/>
      </w:pPr>
      <w:rPr>
        <w:rFonts w:ascii="Wingdings" w:hAnsi="Wingdings" w:hint="default"/>
      </w:rPr>
    </w:lvl>
  </w:abstractNum>
  <w:abstractNum w:abstractNumId="22" w15:restartNumberingAfterBreak="0">
    <w:nsid w:val="5EA10EA8"/>
    <w:multiLevelType w:val="hybridMultilevel"/>
    <w:tmpl w:val="0EA2E0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3576EBA"/>
    <w:multiLevelType w:val="hybridMultilevel"/>
    <w:tmpl w:val="2E0E1EC2"/>
    <w:lvl w:ilvl="0" w:tplc="4190B45C">
      <w:start w:val="1"/>
      <w:numFmt w:val="bullet"/>
      <w:lvlText w:val=""/>
      <w:lvlJc w:val="left"/>
      <w:pPr>
        <w:ind w:left="720" w:hanging="360"/>
      </w:pPr>
      <w:rPr>
        <w:rFonts w:ascii="Symbol" w:hAnsi="Symbol" w:hint="default"/>
      </w:rPr>
    </w:lvl>
    <w:lvl w:ilvl="1" w:tplc="CA2E0132">
      <w:start w:val="1"/>
      <w:numFmt w:val="bullet"/>
      <w:lvlText w:val="o"/>
      <w:lvlJc w:val="left"/>
      <w:pPr>
        <w:ind w:left="1440" w:hanging="360"/>
      </w:pPr>
      <w:rPr>
        <w:rFonts w:ascii="Courier New" w:hAnsi="Courier New" w:hint="default"/>
      </w:rPr>
    </w:lvl>
    <w:lvl w:ilvl="2" w:tplc="325C4680">
      <w:start w:val="1"/>
      <w:numFmt w:val="bullet"/>
      <w:lvlText w:val=""/>
      <w:lvlJc w:val="left"/>
      <w:pPr>
        <w:ind w:left="2160" w:hanging="360"/>
      </w:pPr>
      <w:rPr>
        <w:rFonts w:ascii="Wingdings" w:hAnsi="Wingdings" w:hint="default"/>
      </w:rPr>
    </w:lvl>
    <w:lvl w:ilvl="3" w:tplc="0DA85E50">
      <w:start w:val="1"/>
      <w:numFmt w:val="bullet"/>
      <w:lvlText w:val=""/>
      <w:lvlJc w:val="left"/>
      <w:pPr>
        <w:ind w:left="2880" w:hanging="360"/>
      </w:pPr>
      <w:rPr>
        <w:rFonts w:ascii="Symbol" w:hAnsi="Symbol" w:hint="default"/>
      </w:rPr>
    </w:lvl>
    <w:lvl w:ilvl="4" w:tplc="8084C1D8">
      <w:start w:val="1"/>
      <w:numFmt w:val="bullet"/>
      <w:lvlText w:val="o"/>
      <w:lvlJc w:val="left"/>
      <w:pPr>
        <w:ind w:left="3600" w:hanging="360"/>
      </w:pPr>
      <w:rPr>
        <w:rFonts w:ascii="Courier New" w:hAnsi="Courier New" w:hint="default"/>
      </w:rPr>
    </w:lvl>
    <w:lvl w:ilvl="5" w:tplc="32FC4E10">
      <w:start w:val="1"/>
      <w:numFmt w:val="bullet"/>
      <w:lvlText w:val=""/>
      <w:lvlJc w:val="left"/>
      <w:pPr>
        <w:ind w:left="4320" w:hanging="360"/>
      </w:pPr>
      <w:rPr>
        <w:rFonts w:ascii="Wingdings" w:hAnsi="Wingdings" w:hint="default"/>
      </w:rPr>
    </w:lvl>
    <w:lvl w:ilvl="6" w:tplc="256A9EC2">
      <w:start w:val="1"/>
      <w:numFmt w:val="bullet"/>
      <w:lvlText w:val=""/>
      <w:lvlJc w:val="left"/>
      <w:pPr>
        <w:ind w:left="5040" w:hanging="360"/>
      </w:pPr>
      <w:rPr>
        <w:rFonts w:ascii="Symbol" w:hAnsi="Symbol" w:hint="default"/>
      </w:rPr>
    </w:lvl>
    <w:lvl w:ilvl="7" w:tplc="0E8C5520">
      <w:start w:val="1"/>
      <w:numFmt w:val="bullet"/>
      <w:lvlText w:val="o"/>
      <w:lvlJc w:val="left"/>
      <w:pPr>
        <w:ind w:left="5760" w:hanging="360"/>
      </w:pPr>
      <w:rPr>
        <w:rFonts w:ascii="Courier New" w:hAnsi="Courier New" w:hint="default"/>
      </w:rPr>
    </w:lvl>
    <w:lvl w:ilvl="8" w:tplc="1F8A61F2">
      <w:start w:val="1"/>
      <w:numFmt w:val="bullet"/>
      <w:lvlText w:val=""/>
      <w:lvlJc w:val="left"/>
      <w:pPr>
        <w:ind w:left="6480" w:hanging="360"/>
      </w:pPr>
      <w:rPr>
        <w:rFonts w:ascii="Wingdings" w:hAnsi="Wingdings" w:hint="default"/>
      </w:rPr>
    </w:lvl>
  </w:abstractNum>
  <w:abstractNum w:abstractNumId="24" w15:restartNumberingAfterBreak="0">
    <w:nsid w:val="6894C6C6"/>
    <w:multiLevelType w:val="hybridMultilevel"/>
    <w:tmpl w:val="89643C90"/>
    <w:lvl w:ilvl="0" w:tplc="F2FAF2D2">
      <w:start w:val="1"/>
      <w:numFmt w:val="bullet"/>
      <w:lvlText w:val="·"/>
      <w:lvlJc w:val="left"/>
      <w:pPr>
        <w:ind w:left="720" w:hanging="360"/>
      </w:pPr>
      <w:rPr>
        <w:rFonts w:ascii="Symbol" w:hAnsi="Symbol" w:hint="default"/>
      </w:rPr>
    </w:lvl>
    <w:lvl w:ilvl="1" w:tplc="1172B296">
      <w:start w:val="1"/>
      <w:numFmt w:val="bullet"/>
      <w:lvlText w:val="o"/>
      <w:lvlJc w:val="left"/>
      <w:pPr>
        <w:ind w:left="1440" w:hanging="360"/>
      </w:pPr>
      <w:rPr>
        <w:rFonts w:ascii="&quot;Courier New&quot;" w:hAnsi="&quot;Courier New&quot;" w:hint="default"/>
      </w:rPr>
    </w:lvl>
    <w:lvl w:ilvl="2" w:tplc="BB343274">
      <w:start w:val="1"/>
      <w:numFmt w:val="bullet"/>
      <w:lvlText w:val=""/>
      <w:lvlJc w:val="left"/>
      <w:pPr>
        <w:ind w:left="2160" w:hanging="360"/>
      </w:pPr>
      <w:rPr>
        <w:rFonts w:ascii="Wingdings" w:hAnsi="Wingdings" w:hint="default"/>
      </w:rPr>
    </w:lvl>
    <w:lvl w:ilvl="3" w:tplc="02469DE0">
      <w:start w:val="1"/>
      <w:numFmt w:val="bullet"/>
      <w:lvlText w:val=""/>
      <w:lvlJc w:val="left"/>
      <w:pPr>
        <w:ind w:left="2880" w:hanging="360"/>
      </w:pPr>
      <w:rPr>
        <w:rFonts w:ascii="Symbol" w:hAnsi="Symbol" w:hint="default"/>
      </w:rPr>
    </w:lvl>
    <w:lvl w:ilvl="4" w:tplc="3B50EEE8">
      <w:start w:val="1"/>
      <w:numFmt w:val="bullet"/>
      <w:lvlText w:val="o"/>
      <w:lvlJc w:val="left"/>
      <w:pPr>
        <w:ind w:left="3600" w:hanging="360"/>
      </w:pPr>
      <w:rPr>
        <w:rFonts w:ascii="Courier New" w:hAnsi="Courier New" w:hint="default"/>
      </w:rPr>
    </w:lvl>
    <w:lvl w:ilvl="5" w:tplc="FC04ECE6">
      <w:start w:val="1"/>
      <w:numFmt w:val="bullet"/>
      <w:lvlText w:val=""/>
      <w:lvlJc w:val="left"/>
      <w:pPr>
        <w:ind w:left="4320" w:hanging="360"/>
      </w:pPr>
      <w:rPr>
        <w:rFonts w:ascii="Wingdings" w:hAnsi="Wingdings" w:hint="default"/>
      </w:rPr>
    </w:lvl>
    <w:lvl w:ilvl="6" w:tplc="E6A29B8C">
      <w:start w:val="1"/>
      <w:numFmt w:val="bullet"/>
      <w:lvlText w:val=""/>
      <w:lvlJc w:val="left"/>
      <w:pPr>
        <w:ind w:left="5040" w:hanging="360"/>
      </w:pPr>
      <w:rPr>
        <w:rFonts w:ascii="Symbol" w:hAnsi="Symbol" w:hint="default"/>
      </w:rPr>
    </w:lvl>
    <w:lvl w:ilvl="7" w:tplc="AF027C1E">
      <w:start w:val="1"/>
      <w:numFmt w:val="bullet"/>
      <w:lvlText w:val="o"/>
      <w:lvlJc w:val="left"/>
      <w:pPr>
        <w:ind w:left="5760" w:hanging="360"/>
      </w:pPr>
      <w:rPr>
        <w:rFonts w:ascii="Courier New" w:hAnsi="Courier New" w:hint="default"/>
      </w:rPr>
    </w:lvl>
    <w:lvl w:ilvl="8" w:tplc="29F27F42">
      <w:start w:val="1"/>
      <w:numFmt w:val="bullet"/>
      <w:lvlText w:val=""/>
      <w:lvlJc w:val="left"/>
      <w:pPr>
        <w:ind w:left="6480" w:hanging="360"/>
      </w:pPr>
      <w:rPr>
        <w:rFonts w:ascii="Wingdings" w:hAnsi="Wingdings" w:hint="default"/>
      </w:rPr>
    </w:lvl>
  </w:abstractNum>
  <w:abstractNum w:abstractNumId="25" w15:restartNumberingAfterBreak="0">
    <w:nsid w:val="6C011DCD"/>
    <w:multiLevelType w:val="hybridMultilevel"/>
    <w:tmpl w:val="04988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0CE4B7"/>
    <w:multiLevelType w:val="hybridMultilevel"/>
    <w:tmpl w:val="DECA8672"/>
    <w:lvl w:ilvl="0" w:tplc="645EE6F8">
      <w:start w:val="1"/>
      <w:numFmt w:val="decimal"/>
      <w:lvlText w:val="%1."/>
      <w:lvlJc w:val="left"/>
      <w:pPr>
        <w:ind w:left="720" w:hanging="360"/>
      </w:pPr>
    </w:lvl>
    <w:lvl w:ilvl="1" w:tplc="7AE4E1F8">
      <w:start w:val="1"/>
      <w:numFmt w:val="lowerLetter"/>
      <w:lvlText w:val="%2."/>
      <w:lvlJc w:val="left"/>
      <w:pPr>
        <w:ind w:left="1440" w:hanging="360"/>
      </w:pPr>
    </w:lvl>
    <w:lvl w:ilvl="2" w:tplc="71FC526A">
      <w:start w:val="1"/>
      <w:numFmt w:val="lowerRoman"/>
      <w:lvlText w:val="%3."/>
      <w:lvlJc w:val="right"/>
      <w:pPr>
        <w:ind w:left="2160" w:hanging="180"/>
      </w:pPr>
    </w:lvl>
    <w:lvl w:ilvl="3" w:tplc="2082790C">
      <w:start w:val="1"/>
      <w:numFmt w:val="decimal"/>
      <w:lvlText w:val="%4."/>
      <w:lvlJc w:val="left"/>
      <w:pPr>
        <w:ind w:left="2880" w:hanging="360"/>
      </w:pPr>
    </w:lvl>
    <w:lvl w:ilvl="4" w:tplc="59EAF73A">
      <w:start w:val="1"/>
      <w:numFmt w:val="lowerLetter"/>
      <w:lvlText w:val="%5."/>
      <w:lvlJc w:val="left"/>
      <w:pPr>
        <w:ind w:left="3600" w:hanging="360"/>
      </w:pPr>
    </w:lvl>
    <w:lvl w:ilvl="5" w:tplc="376451B2">
      <w:start w:val="1"/>
      <w:numFmt w:val="lowerRoman"/>
      <w:lvlText w:val="%6."/>
      <w:lvlJc w:val="right"/>
      <w:pPr>
        <w:ind w:left="4320" w:hanging="180"/>
      </w:pPr>
    </w:lvl>
    <w:lvl w:ilvl="6" w:tplc="6F602BC4">
      <w:start w:val="1"/>
      <w:numFmt w:val="decimal"/>
      <w:lvlText w:val="%7."/>
      <w:lvlJc w:val="left"/>
      <w:pPr>
        <w:ind w:left="5040" w:hanging="360"/>
      </w:pPr>
    </w:lvl>
    <w:lvl w:ilvl="7" w:tplc="54F8276A">
      <w:start w:val="1"/>
      <w:numFmt w:val="lowerLetter"/>
      <w:lvlText w:val="%8."/>
      <w:lvlJc w:val="left"/>
      <w:pPr>
        <w:ind w:left="5760" w:hanging="360"/>
      </w:pPr>
    </w:lvl>
    <w:lvl w:ilvl="8" w:tplc="972CE41A">
      <w:start w:val="1"/>
      <w:numFmt w:val="lowerRoman"/>
      <w:lvlText w:val="%9."/>
      <w:lvlJc w:val="right"/>
      <w:pPr>
        <w:ind w:left="6480" w:hanging="180"/>
      </w:pPr>
    </w:lvl>
  </w:abstractNum>
  <w:abstractNum w:abstractNumId="27" w15:restartNumberingAfterBreak="0">
    <w:nsid w:val="74C133BA"/>
    <w:multiLevelType w:val="hybridMultilevel"/>
    <w:tmpl w:val="6360E826"/>
    <w:lvl w:ilvl="0" w:tplc="77E05B84">
      <w:start w:val="1"/>
      <w:numFmt w:val="bullet"/>
      <w:lvlText w:val=""/>
      <w:lvlJc w:val="left"/>
      <w:pPr>
        <w:ind w:left="720" w:hanging="360"/>
      </w:pPr>
      <w:rPr>
        <w:rFonts w:ascii="Symbol" w:hAnsi="Symbol" w:hint="default"/>
      </w:rPr>
    </w:lvl>
    <w:lvl w:ilvl="1" w:tplc="62AA97FA">
      <w:start w:val="1"/>
      <w:numFmt w:val="bullet"/>
      <w:lvlText w:val="o"/>
      <w:lvlJc w:val="left"/>
      <w:pPr>
        <w:ind w:left="1440" w:hanging="360"/>
      </w:pPr>
      <w:rPr>
        <w:rFonts w:ascii="Courier New" w:hAnsi="Courier New" w:hint="default"/>
      </w:rPr>
    </w:lvl>
    <w:lvl w:ilvl="2" w:tplc="FCD28790">
      <w:start w:val="1"/>
      <w:numFmt w:val="bullet"/>
      <w:lvlText w:val=""/>
      <w:lvlJc w:val="left"/>
      <w:pPr>
        <w:ind w:left="2160" w:hanging="360"/>
      </w:pPr>
      <w:rPr>
        <w:rFonts w:ascii="Wingdings" w:hAnsi="Wingdings" w:hint="default"/>
      </w:rPr>
    </w:lvl>
    <w:lvl w:ilvl="3" w:tplc="09E25D1E">
      <w:start w:val="1"/>
      <w:numFmt w:val="bullet"/>
      <w:lvlText w:val=""/>
      <w:lvlJc w:val="left"/>
      <w:pPr>
        <w:ind w:left="2880" w:hanging="360"/>
      </w:pPr>
      <w:rPr>
        <w:rFonts w:ascii="Symbol" w:hAnsi="Symbol" w:hint="default"/>
      </w:rPr>
    </w:lvl>
    <w:lvl w:ilvl="4" w:tplc="DD24273A">
      <w:start w:val="1"/>
      <w:numFmt w:val="bullet"/>
      <w:lvlText w:val="o"/>
      <w:lvlJc w:val="left"/>
      <w:pPr>
        <w:ind w:left="3600" w:hanging="360"/>
      </w:pPr>
      <w:rPr>
        <w:rFonts w:ascii="Courier New" w:hAnsi="Courier New" w:hint="default"/>
      </w:rPr>
    </w:lvl>
    <w:lvl w:ilvl="5" w:tplc="2042EE2C">
      <w:start w:val="1"/>
      <w:numFmt w:val="bullet"/>
      <w:lvlText w:val=""/>
      <w:lvlJc w:val="left"/>
      <w:pPr>
        <w:ind w:left="4320" w:hanging="360"/>
      </w:pPr>
      <w:rPr>
        <w:rFonts w:ascii="Wingdings" w:hAnsi="Wingdings" w:hint="default"/>
      </w:rPr>
    </w:lvl>
    <w:lvl w:ilvl="6" w:tplc="B4F6B1EA">
      <w:start w:val="1"/>
      <w:numFmt w:val="bullet"/>
      <w:lvlText w:val=""/>
      <w:lvlJc w:val="left"/>
      <w:pPr>
        <w:ind w:left="5040" w:hanging="360"/>
      </w:pPr>
      <w:rPr>
        <w:rFonts w:ascii="Symbol" w:hAnsi="Symbol" w:hint="default"/>
      </w:rPr>
    </w:lvl>
    <w:lvl w:ilvl="7" w:tplc="D6B2FC5A">
      <w:start w:val="1"/>
      <w:numFmt w:val="bullet"/>
      <w:lvlText w:val="o"/>
      <w:lvlJc w:val="left"/>
      <w:pPr>
        <w:ind w:left="5760" w:hanging="360"/>
      </w:pPr>
      <w:rPr>
        <w:rFonts w:ascii="Courier New" w:hAnsi="Courier New" w:hint="default"/>
      </w:rPr>
    </w:lvl>
    <w:lvl w:ilvl="8" w:tplc="C6880932">
      <w:start w:val="1"/>
      <w:numFmt w:val="bullet"/>
      <w:lvlText w:val=""/>
      <w:lvlJc w:val="left"/>
      <w:pPr>
        <w:ind w:left="6480" w:hanging="360"/>
      </w:pPr>
      <w:rPr>
        <w:rFonts w:ascii="Wingdings" w:hAnsi="Wingdings" w:hint="default"/>
      </w:rPr>
    </w:lvl>
  </w:abstractNum>
  <w:abstractNum w:abstractNumId="28" w15:restartNumberingAfterBreak="0">
    <w:nsid w:val="7AE06FD9"/>
    <w:multiLevelType w:val="hybridMultilevel"/>
    <w:tmpl w:val="7BE80116"/>
    <w:lvl w:ilvl="0" w:tplc="21FE7036">
      <w:start w:val="1"/>
      <w:numFmt w:val="bullet"/>
      <w:lvlText w:val="·"/>
      <w:lvlJc w:val="left"/>
      <w:pPr>
        <w:ind w:left="720" w:hanging="360"/>
      </w:pPr>
      <w:rPr>
        <w:rFonts w:ascii="Symbol" w:hAnsi="Symbol" w:hint="default"/>
      </w:rPr>
    </w:lvl>
    <w:lvl w:ilvl="1" w:tplc="4CD61502">
      <w:start w:val="1"/>
      <w:numFmt w:val="bullet"/>
      <w:lvlText w:val="o"/>
      <w:lvlJc w:val="left"/>
      <w:pPr>
        <w:ind w:left="1440" w:hanging="360"/>
      </w:pPr>
      <w:rPr>
        <w:rFonts w:ascii="&quot;Courier New&quot;" w:hAnsi="&quot;Courier New&quot;" w:hint="default"/>
      </w:rPr>
    </w:lvl>
    <w:lvl w:ilvl="2" w:tplc="4D3A0F96">
      <w:start w:val="1"/>
      <w:numFmt w:val="bullet"/>
      <w:lvlText w:val=""/>
      <w:lvlJc w:val="left"/>
      <w:pPr>
        <w:ind w:left="2160" w:hanging="360"/>
      </w:pPr>
      <w:rPr>
        <w:rFonts w:ascii="Wingdings" w:hAnsi="Wingdings" w:hint="default"/>
      </w:rPr>
    </w:lvl>
    <w:lvl w:ilvl="3" w:tplc="368CF500">
      <w:start w:val="1"/>
      <w:numFmt w:val="bullet"/>
      <w:lvlText w:val=""/>
      <w:lvlJc w:val="left"/>
      <w:pPr>
        <w:ind w:left="2880" w:hanging="360"/>
      </w:pPr>
      <w:rPr>
        <w:rFonts w:ascii="Symbol" w:hAnsi="Symbol" w:hint="default"/>
      </w:rPr>
    </w:lvl>
    <w:lvl w:ilvl="4" w:tplc="833C236C">
      <w:start w:val="1"/>
      <w:numFmt w:val="bullet"/>
      <w:lvlText w:val="o"/>
      <w:lvlJc w:val="left"/>
      <w:pPr>
        <w:ind w:left="3600" w:hanging="360"/>
      </w:pPr>
      <w:rPr>
        <w:rFonts w:ascii="Courier New" w:hAnsi="Courier New" w:hint="default"/>
      </w:rPr>
    </w:lvl>
    <w:lvl w:ilvl="5" w:tplc="6CAEE93A">
      <w:start w:val="1"/>
      <w:numFmt w:val="bullet"/>
      <w:lvlText w:val=""/>
      <w:lvlJc w:val="left"/>
      <w:pPr>
        <w:ind w:left="4320" w:hanging="360"/>
      </w:pPr>
      <w:rPr>
        <w:rFonts w:ascii="Wingdings" w:hAnsi="Wingdings" w:hint="default"/>
      </w:rPr>
    </w:lvl>
    <w:lvl w:ilvl="6" w:tplc="0740859C">
      <w:start w:val="1"/>
      <w:numFmt w:val="bullet"/>
      <w:lvlText w:val=""/>
      <w:lvlJc w:val="left"/>
      <w:pPr>
        <w:ind w:left="5040" w:hanging="360"/>
      </w:pPr>
      <w:rPr>
        <w:rFonts w:ascii="Symbol" w:hAnsi="Symbol" w:hint="default"/>
      </w:rPr>
    </w:lvl>
    <w:lvl w:ilvl="7" w:tplc="526A0ABC">
      <w:start w:val="1"/>
      <w:numFmt w:val="bullet"/>
      <w:lvlText w:val="o"/>
      <w:lvlJc w:val="left"/>
      <w:pPr>
        <w:ind w:left="5760" w:hanging="360"/>
      </w:pPr>
      <w:rPr>
        <w:rFonts w:ascii="Courier New" w:hAnsi="Courier New" w:hint="default"/>
      </w:rPr>
    </w:lvl>
    <w:lvl w:ilvl="8" w:tplc="2AB0149C">
      <w:start w:val="1"/>
      <w:numFmt w:val="bullet"/>
      <w:lvlText w:val=""/>
      <w:lvlJc w:val="left"/>
      <w:pPr>
        <w:ind w:left="6480" w:hanging="360"/>
      </w:pPr>
      <w:rPr>
        <w:rFonts w:ascii="Wingdings" w:hAnsi="Wingdings" w:hint="default"/>
      </w:rPr>
    </w:lvl>
  </w:abstractNum>
  <w:abstractNum w:abstractNumId="29" w15:restartNumberingAfterBreak="0">
    <w:nsid w:val="7C5D5C8B"/>
    <w:multiLevelType w:val="hybridMultilevel"/>
    <w:tmpl w:val="F86CDD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D127CD1"/>
    <w:multiLevelType w:val="hybridMultilevel"/>
    <w:tmpl w:val="764CD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5CD12A"/>
    <w:multiLevelType w:val="hybridMultilevel"/>
    <w:tmpl w:val="1676FF68"/>
    <w:lvl w:ilvl="0" w:tplc="CC206BC4">
      <w:start w:val="1"/>
      <w:numFmt w:val="decimal"/>
      <w:lvlText w:val="%1."/>
      <w:lvlJc w:val="left"/>
      <w:pPr>
        <w:ind w:left="720" w:hanging="360"/>
      </w:pPr>
    </w:lvl>
    <w:lvl w:ilvl="1" w:tplc="DC228BC4">
      <w:start w:val="1"/>
      <w:numFmt w:val="lowerLetter"/>
      <w:lvlText w:val="%2."/>
      <w:lvlJc w:val="left"/>
      <w:pPr>
        <w:ind w:left="1440" w:hanging="360"/>
      </w:pPr>
    </w:lvl>
    <w:lvl w:ilvl="2" w:tplc="488A47FA">
      <w:start w:val="1"/>
      <w:numFmt w:val="lowerRoman"/>
      <w:lvlText w:val="%3."/>
      <w:lvlJc w:val="right"/>
      <w:pPr>
        <w:ind w:left="2160" w:hanging="180"/>
      </w:pPr>
    </w:lvl>
    <w:lvl w:ilvl="3" w:tplc="D8E68EC2">
      <w:start w:val="1"/>
      <w:numFmt w:val="decimal"/>
      <w:lvlText w:val="%4."/>
      <w:lvlJc w:val="left"/>
      <w:pPr>
        <w:ind w:left="2880" w:hanging="360"/>
      </w:pPr>
    </w:lvl>
    <w:lvl w:ilvl="4" w:tplc="3C10B9FC">
      <w:start w:val="1"/>
      <w:numFmt w:val="lowerLetter"/>
      <w:lvlText w:val="%5."/>
      <w:lvlJc w:val="left"/>
      <w:pPr>
        <w:ind w:left="3600" w:hanging="360"/>
      </w:pPr>
    </w:lvl>
    <w:lvl w:ilvl="5" w:tplc="7BDE96AE">
      <w:start w:val="1"/>
      <w:numFmt w:val="lowerRoman"/>
      <w:lvlText w:val="%6."/>
      <w:lvlJc w:val="right"/>
      <w:pPr>
        <w:ind w:left="4320" w:hanging="180"/>
      </w:pPr>
    </w:lvl>
    <w:lvl w:ilvl="6" w:tplc="FB1052C6">
      <w:start w:val="1"/>
      <w:numFmt w:val="decimal"/>
      <w:lvlText w:val="%7."/>
      <w:lvlJc w:val="left"/>
      <w:pPr>
        <w:ind w:left="5040" w:hanging="360"/>
      </w:pPr>
    </w:lvl>
    <w:lvl w:ilvl="7" w:tplc="D744DE6A">
      <w:start w:val="1"/>
      <w:numFmt w:val="lowerLetter"/>
      <w:lvlText w:val="%8."/>
      <w:lvlJc w:val="left"/>
      <w:pPr>
        <w:ind w:left="5760" w:hanging="360"/>
      </w:pPr>
    </w:lvl>
    <w:lvl w:ilvl="8" w:tplc="27D2F9D8">
      <w:start w:val="1"/>
      <w:numFmt w:val="lowerRoman"/>
      <w:lvlText w:val="%9."/>
      <w:lvlJc w:val="right"/>
      <w:pPr>
        <w:ind w:left="6480" w:hanging="180"/>
      </w:pPr>
    </w:lvl>
  </w:abstractNum>
  <w:num w:numId="1" w16cid:durableId="1211381564">
    <w:abstractNumId w:val="10"/>
  </w:num>
  <w:num w:numId="2" w16cid:durableId="522019084">
    <w:abstractNumId w:val="2"/>
  </w:num>
  <w:num w:numId="3" w16cid:durableId="26106551">
    <w:abstractNumId w:val="13"/>
  </w:num>
  <w:num w:numId="4" w16cid:durableId="1849561127">
    <w:abstractNumId w:val="31"/>
  </w:num>
  <w:num w:numId="5" w16cid:durableId="577636836">
    <w:abstractNumId w:val="26"/>
  </w:num>
  <w:num w:numId="6" w16cid:durableId="572666445">
    <w:abstractNumId w:val="21"/>
  </w:num>
  <w:num w:numId="7" w16cid:durableId="506141018">
    <w:abstractNumId w:val="27"/>
  </w:num>
  <w:num w:numId="8" w16cid:durableId="1917324262">
    <w:abstractNumId w:val="14"/>
  </w:num>
  <w:num w:numId="9" w16cid:durableId="709375264">
    <w:abstractNumId w:val="6"/>
  </w:num>
  <w:num w:numId="10" w16cid:durableId="616259019">
    <w:abstractNumId w:val="4"/>
  </w:num>
  <w:num w:numId="11" w16cid:durableId="1093354738">
    <w:abstractNumId w:val="24"/>
  </w:num>
  <w:num w:numId="12" w16cid:durableId="1066608418">
    <w:abstractNumId w:val="12"/>
  </w:num>
  <w:num w:numId="13" w16cid:durableId="936013269">
    <w:abstractNumId w:val="0"/>
  </w:num>
  <w:num w:numId="14" w16cid:durableId="1059522191">
    <w:abstractNumId w:val="28"/>
  </w:num>
  <w:num w:numId="15" w16cid:durableId="2054575352">
    <w:abstractNumId w:val="3"/>
  </w:num>
  <w:num w:numId="16" w16cid:durableId="1608544418">
    <w:abstractNumId w:val="17"/>
  </w:num>
  <w:num w:numId="17" w16cid:durableId="1061060059">
    <w:abstractNumId w:val="15"/>
  </w:num>
  <w:num w:numId="18" w16cid:durableId="980426086">
    <w:abstractNumId w:val="18"/>
  </w:num>
  <w:num w:numId="19" w16cid:durableId="48381566">
    <w:abstractNumId w:val="8"/>
  </w:num>
  <w:num w:numId="20" w16cid:durableId="958990302">
    <w:abstractNumId w:val="5"/>
  </w:num>
  <w:num w:numId="21" w16cid:durableId="1583954818">
    <w:abstractNumId w:val="11"/>
  </w:num>
  <w:num w:numId="22" w16cid:durableId="1030493510">
    <w:abstractNumId w:val="20"/>
  </w:num>
  <w:num w:numId="23" w16cid:durableId="1335575861">
    <w:abstractNumId w:val="19"/>
  </w:num>
  <w:num w:numId="24" w16cid:durableId="1343701072">
    <w:abstractNumId w:val="1"/>
  </w:num>
  <w:num w:numId="25" w16cid:durableId="2100985266">
    <w:abstractNumId w:val="29"/>
  </w:num>
  <w:num w:numId="26" w16cid:durableId="1894265791">
    <w:abstractNumId w:val="25"/>
  </w:num>
  <w:num w:numId="27" w16cid:durableId="16276075">
    <w:abstractNumId w:val="30"/>
  </w:num>
  <w:num w:numId="28" w16cid:durableId="1584140519">
    <w:abstractNumId w:val="16"/>
  </w:num>
  <w:num w:numId="29" w16cid:durableId="195629094">
    <w:abstractNumId w:val="7"/>
  </w:num>
  <w:num w:numId="30" w16cid:durableId="1949046918">
    <w:abstractNumId w:val="23"/>
  </w:num>
  <w:num w:numId="31" w16cid:durableId="1383365897">
    <w:abstractNumId w:val="9"/>
  </w:num>
  <w:num w:numId="32" w16cid:durableId="11783035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FC7"/>
    <w:rsid w:val="00007D11"/>
    <w:rsid w:val="000101F0"/>
    <w:rsid w:val="000134DD"/>
    <w:rsid w:val="00024FCB"/>
    <w:rsid w:val="00026063"/>
    <w:rsid w:val="0003469A"/>
    <w:rsid w:val="000346B1"/>
    <w:rsid w:val="00040DDF"/>
    <w:rsid w:val="000549D7"/>
    <w:rsid w:val="0005617A"/>
    <w:rsid w:val="00056BF6"/>
    <w:rsid w:val="000572C1"/>
    <w:rsid w:val="000623E6"/>
    <w:rsid w:val="000631C3"/>
    <w:rsid w:val="00063B12"/>
    <w:rsid w:val="00063E1F"/>
    <w:rsid w:val="00065CE9"/>
    <w:rsid w:val="00066CBE"/>
    <w:rsid w:val="0007105A"/>
    <w:rsid w:val="00075D3D"/>
    <w:rsid w:val="00087FB0"/>
    <w:rsid w:val="0009310C"/>
    <w:rsid w:val="000948C8"/>
    <w:rsid w:val="000B20F1"/>
    <w:rsid w:val="000B3985"/>
    <w:rsid w:val="000C1487"/>
    <w:rsid w:val="000D1DF5"/>
    <w:rsid w:val="000E1A28"/>
    <w:rsid w:val="00101F7E"/>
    <w:rsid w:val="0010230E"/>
    <w:rsid w:val="00110475"/>
    <w:rsid w:val="00114B84"/>
    <w:rsid w:val="00114F98"/>
    <w:rsid w:val="00117451"/>
    <w:rsid w:val="00121DAD"/>
    <w:rsid w:val="001233F6"/>
    <w:rsid w:val="00125C60"/>
    <w:rsid w:val="00125E7F"/>
    <w:rsid w:val="001314EC"/>
    <w:rsid w:val="001379FF"/>
    <w:rsid w:val="00142CB9"/>
    <w:rsid w:val="0014CDB3"/>
    <w:rsid w:val="00160062"/>
    <w:rsid w:val="00161FD0"/>
    <w:rsid w:val="00162365"/>
    <w:rsid w:val="00170DA0"/>
    <w:rsid w:val="00174D4E"/>
    <w:rsid w:val="00182AB6"/>
    <w:rsid w:val="00195242"/>
    <w:rsid w:val="001A5BC4"/>
    <w:rsid w:val="001B406C"/>
    <w:rsid w:val="001C0341"/>
    <w:rsid w:val="001C0625"/>
    <w:rsid w:val="001C6B37"/>
    <w:rsid w:val="001D26E4"/>
    <w:rsid w:val="001D5E6A"/>
    <w:rsid w:val="001D61ED"/>
    <w:rsid w:val="001E40B4"/>
    <w:rsid w:val="001F13F0"/>
    <w:rsid w:val="001F228E"/>
    <w:rsid w:val="001F24C4"/>
    <w:rsid w:val="001F4DEF"/>
    <w:rsid w:val="001F7E7F"/>
    <w:rsid w:val="002009D5"/>
    <w:rsid w:val="002066E0"/>
    <w:rsid w:val="00207933"/>
    <w:rsid w:val="002236EF"/>
    <w:rsid w:val="00230DA1"/>
    <w:rsid w:val="002317C4"/>
    <w:rsid w:val="0023682B"/>
    <w:rsid w:val="00236C39"/>
    <w:rsid w:val="00237FE2"/>
    <w:rsid w:val="002423C0"/>
    <w:rsid w:val="00244AF9"/>
    <w:rsid w:val="002637B8"/>
    <w:rsid w:val="00267027"/>
    <w:rsid w:val="0026762A"/>
    <w:rsid w:val="00271B08"/>
    <w:rsid w:val="002A1ABC"/>
    <w:rsid w:val="002B63A1"/>
    <w:rsid w:val="002B66C5"/>
    <w:rsid w:val="002B6A0A"/>
    <w:rsid w:val="002B7456"/>
    <w:rsid w:val="002C0C9D"/>
    <w:rsid w:val="002C44A6"/>
    <w:rsid w:val="002CDA89"/>
    <w:rsid w:val="002D0FCB"/>
    <w:rsid w:val="002E0F85"/>
    <w:rsid w:val="002F078E"/>
    <w:rsid w:val="002F34A7"/>
    <w:rsid w:val="002F541A"/>
    <w:rsid w:val="00312B4F"/>
    <w:rsid w:val="00314AF4"/>
    <w:rsid w:val="003276C9"/>
    <w:rsid w:val="00340BDB"/>
    <w:rsid w:val="003411BD"/>
    <w:rsid w:val="00341C01"/>
    <w:rsid w:val="0034632B"/>
    <w:rsid w:val="0035100C"/>
    <w:rsid w:val="003547C7"/>
    <w:rsid w:val="00360BD0"/>
    <w:rsid w:val="00366C48"/>
    <w:rsid w:val="00377317"/>
    <w:rsid w:val="003815A8"/>
    <w:rsid w:val="00383723"/>
    <w:rsid w:val="0038717D"/>
    <w:rsid w:val="00392D44"/>
    <w:rsid w:val="00394980"/>
    <w:rsid w:val="003A15EE"/>
    <w:rsid w:val="003A2A1E"/>
    <w:rsid w:val="003A47FA"/>
    <w:rsid w:val="003A7B2A"/>
    <w:rsid w:val="003B3509"/>
    <w:rsid w:val="003C0CFE"/>
    <w:rsid w:val="003C326B"/>
    <w:rsid w:val="003C7715"/>
    <w:rsid w:val="003D1B0F"/>
    <w:rsid w:val="003D2B46"/>
    <w:rsid w:val="003E2E8A"/>
    <w:rsid w:val="003E4D98"/>
    <w:rsid w:val="003F70AB"/>
    <w:rsid w:val="00402D92"/>
    <w:rsid w:val="00405766"/>
    <w:rsid w:val="004074DC"/>
    <w:rsid w:val="0040760B"/>
    <w:rsid w:val="00411440"/>
    <w:rsid w:val="0041317D"/>
    <w:rsid w:val="00415DA5"/>
    <w:rsid w:val="00416548"/>
    <w:rsid w:val="004173BE"/>
    <w:rsid w:val="00422C70"/>
    <w:rsid w:val="00425610"/>
    <w:rsid w:val="00431C52"/>
    <w:rsid w:val="004343E8"/>
    <w:rsid w:val="004352AE"/>
    <w:rsid w:val="0043763E"/>
    <w:rsid w:val="004376D1"/>
    <w:rsid w:val="0044701E"/>
    <w:rsid w:val="00450A6C"/>
    <w:rsid w:val="00457B2D"/>
    <w:rsid w:val="00463BEA"/>
    <w:rsid w:val="00473863"/>
    <w:rsid w:val="00475BD8"/>
    <w:rsid w:val="00477519"/>
    <w:rsid w:val="00486BBF"/>
    <w:rsid w:val="00492684"/>
    <w:rsid w:val="0049440C"/>
    <w:rsid w:val="00497AB5"/>
    <w:rsid w:val="004A5511"/>
    <w:rsid w:val="004B1A4E"/>
    <w:rsid w:val="004B3448"/>
    <w:rsid w:val="004B866E"/>
    <w:rsid w:val="004C2709"/>
    <w:rsid w:val="004D0DAF"/>
    <w:rsid w:val="004E191B"/>
    <w:rsid w:val="004F0F7A"/>
    <w:rsid w:val="004F4FC7"/>
    <w:rsid w:val="004F54CF"/>
    <w:rsid w:val="00514E59"/>
    <w:rsid w:val="005159EF"/>
    <w:rsid w:val="00524187"/>
    <w:rsid w:val="00530A6A"/>
    <w:rsid w:val="00531D28"/>
    <w:rsid w:val="00536AD3"/>
    <w:rsid w:val="00544F50"/>
    <w:rsid w:val="005466C5"/>
    <w:rsid w:val="005510DA"/>
    <w:rsid w:val="0055149C"/>
    <w:rsid w:val="00554F2B"/>
    <w:rsid w:val="005634C4"/>
    <w:rsid w:val="00563D0F"/>
    <w:rsid w:val="00570817"/>
    <w:rsid w:val="00573430"/>
    <w:rsid w:val="00574B08"/>
    <w:rsid w:val="005764BB"/>
    <w:rsid w:val="00581BAC"/>
    <w:rsid w:val="00582D52"/>
    <w:rsid w:val="005A0DE6"/>
    <w:rsid w:val="005A5E23"/>
    <w:rsid w:val="005C4C3A"/>
    <w:rsid w:val="005D5055"/>
    <w:rsid w:val="005E7451"/>
    <w:rsid w:val="005F5222"/>
    <w:rsid w:val="005F60A5"/>
    <w:rsid w:val="005F696E"/>
    <w:rsid w:val="005F7E7A"/>
    <w:rsid w:val="00613F59"/>
    <w:rsid w:val="00620F8F"/>
    <w:rsid w:val="00626D6B"/>
    <w:rsid w:val="00630699"/>
    <w:rsid w:val="00633103"/>
    <w:rsid w:val="00637325"/>
    <w:rsid w:val="00642DD6"/>
    <w:rsid w:val="0064682A"/>
    <w:rsid w:val="00652603"/>
    <w:rsid w:val="00656EBB"/>
    <w:rsid w:val="006606DF"/>
    <w:rsid w:val="006619D3"/>
    <w:rsid w:val="00674E7F"/>
    <w:rsid w:val="006769BD"/>
    <w:rsid w:val="006817D6"/>
    <w:rsid w:val="00697A33"/>
    <w:rsid w:val="006A19CD"/>
    <w:rsid w:val="006A279D"/>
    <w:rsid w:val="006A3BBD"/>
    <w:rsid w:val="006B010F"/>
    <w:rsid w:val="006B0F3F"/>
    <w:rsid w:val="006B1FF8"/>
    <w:rsid w:val="006B2202"/>
    <w:rsid w:val="006B2B84"/>
    <w:rsid w:val="006C1693"/>
    <w:rsid w:val="006C2197"/>
    <w:rsid w:val="006C5D11"/>
    <w:rsid w:val="006C78FA"/>
    <w:rsid w:val="006E580D"/>
    <w:rsid w:val="006F280F"/>
    <w:rsid w:val="006F3DB9"/>
    <w:rsid w:val="006F5ADF"/>
    <w:rsid w:val="0070035D"/>
    <w:rsid w:val="0070198B"/>
    <w:rsid w:val="00703935"/>
    <w:rsid w:val="00715F39"/>
    <w:rsid w:val="00717F7D"/>
    <w:rsid w:val="00731EF3"/>
    <w:rsid w:val="00732AD3"/>
    <w:rsid w:val="007334AE"/>
    <w:rsid w:val="007339FA"/>
    <w:rsid w:val="00733F8C"/>
    <w:rsid w:val="0074012F"/>
    <w:rsid w:val="00744A33"/>
    <w:rsid w:val="007500AD"/>
    <w:rsid w:val="00752DE7"/>
    <w:rsid w:val="00752F13"/>
    <w:rsid w:val="0075355B"/>
    <w:rsid w:val="007544B5"/>
    <w:rsid w:val="0075678B"/>
    <w:rsid w:val="007603E2"/>
    <w:rsid w:val="00765643"/>
    <w:rsid w:val="007656CB"/>
    <w:rsid w:val="007744C9"/>
    <w:rsid w:val="0077BC3C"/>
    <w:rsid w:val="0079277D"/>
    <w:rsid w:val="00792DA8"/>
    <w:rsid w:val="00795846"/>
    <w:rsid w:val="00795E62"/>
    <w:rsid w:val="007C6588"/>
    <w:rsid w:val="007D0BC4"/>
    <w:rsid w:val="007D61EC"/>
    <w:rsid w:val="007E035D"/>
    <w:rsid w:val="007F0446"/>
    <w:rsid w:val="007F5FEA"/>
    <w:rsid w:val="007F6BAE"/>
    <w:rsid w:val="007F7FC2"/>
    <w:rsid w:val="00800B17"/>
    <w:rsid w:val="00802BBF"/>
    <w:rsid w:val="00803443"/>
    <w:rsid w:val="00815922"/>
    <w:rsid w:val="00821B14"/>
    <w:rsid w:val="00833791"/>
    <w:rsid w:val="008368A1"/>
    <w:rsid w:val="0084450A"/>
    <w:rsid w:val="0085661C"/>
    <w:rsid w:val="008605B0"/>
    <w:rsid w:val="00861AC1"/>
    <w:rsid w:val="008624AC"/>
    <w:rsid w:val="00862F92"/>
    <w:rsid w:val="00867C9A"/>
    <w:rsid w:val="008700A1"/>
    <w:rsid w:val="00893715"/>
    <w:rsid w:val="008A3207"/>
    <w:rsid w:val="008A563C"/>
    <w:rsid w:val="008C1D04"/>
    <w:rsid w:val="008C2FD0"/>
    <w:rsid w:val="008C7116"/>
    <w:rsid w:val="008D3212"/>
    <w:rsid w:val="008D3C4D"/>
    <w:rsid w:val="008D440A"/>
    <w:rsid w:val="008E39F7"/>
    <w:rsid w:val="008F5D1E"/>
    <w:rsid w:val="008F7A45"/>
    <w:rsid w:val="00903FBB"/>
    <w:rsid w:val="00913DDC"/>
    <w:rsid w:val="009157C3"/>
    <w:rsid w:val="00923532"/>
    <w:rsid w:val="009408E5"/>
    <w:rsid w:val="009439DA"/>
    <w:rsid w:val="00945E63"/>
    <w:rsid w:val="009617B2"/>
    <w:rsid w:val="00961E15"/>
    <w:rsid w:val="00963B7F"/>
    <w:rsid w:val="009652C5"/>
    <w:rsid w:val="00971B5F"/>
    <w:rsid w:val="0097383B"/>
    <w:rsid w:val="009747DB"/>
    <w:rsid w:val="009763C5"/>
    <w:rsid w:val="0098250A"/>
    <w:rsid w:val="00985B30"/>
    <w:rsid w:val="00993E0B"/>
    <w:rsid w:val="00995BE2"/>
    <w:rsid w:val="00996ED4"/>
    <w:rsid w:val="009A6617"/>
    <w:rsid w:val="009B1DB0"/>
    <w:rsid w:val="009B4C9F"/>
    <w:rsid w:val="009C4874"/>
    <w:rsid w:val="009D6615"/>
    <w:rsid w:val="009E2BB7"/>
    <w:rsid w:val="009E2C6B"/>
    <w:rsid w:val="009F0BAE"/>
    <w:rsid w:val="009F0D43"/>
    <w:rsid w:val="009F3330"/>
    <w:rsid w:val="009F490A"/>
    <w:rsid w:val="009F4AC1"/>
    <w:rsid w:val="00A10A9E"/>
    <w:rsid w:val="00A159C3"/>
    <w:rsid w:val="00A1F95A"/>
    <w:rsid w:val="00A20F3D"/>
    <w:rsid w:val="00A21AE4"/>
    <w:rsid w:val="00A256F5"/>
    <w:rsid w:val="00A25D49"/>
    <w:rsid w:val="00A37F5C"/>
    <w:rsid w:val="00A41A1F"/>
    <w:rsid w:val="00A44FD8"/>
    <w:rsid w:val="00A46689"/>
    <w:rsid w:val="00A47933"/>
    <w:rsid w:val="00A51694"/>
    <w:rsid w:val="00A5645B"/>
    <w:rsid w:val="00A7161D"/>
    <w:rsid w:val="00A7198E"/>
    <w:rsid w:val="00A71D0F"/>
    <w:rsid w:val="00A83924"/>
    <w:rsid w:val="00A84866"/>
    <w:rsid w:val="00A851DF"/>
    <w:rsid w:val="00A858ED"/>
    <w:rsid w:val="00A87687"/>
    <w:rsid w:val="00A97AAC"/>
    <w:rsid w:val="00AA139C"/>
    <w:rsid w:val="00AA2451"/>
    <w:rsid w:val="00AB0982"/>
    <w:rsid w:val="00AB0CCE"/>
    <w:rsid w:val="00AC2506"/>
    <w:rsid w:val="00AC2C87"/>
    <w:rsid w:val="00AC4FF4"/>
    <w:rsid w:val="00AD3F9A"/>
    <w:rsid w:val="00AD6CA1"/>
    <w:rsid w:val="00AF42CB"/>
    <w:rsid w:val="00AF4CB6"/>
    <w:rsid w:val="00B044EB"/>
    <w:rsid w:val="00B07E50"/>
    <w:rsid w:val="00B10E44"/>
    <w:rsid w:val="00B15152"/>
    <w:rsid w:val="00B33C7D"/>
    <w:rsid w:val="00B36264"/>
    <w:rsid w:val="00B36C61"/>
    <w:rsid w:val="00B40CBC"/>
    <w:rsid w:val="00B45138"/>
    <w:rsid w:val="00B50526"/>
    <w:rsid w:val="00B54961"/>
    <w:rsid w:val="00B601D6"/>
    <w:rsid w:val="00B613A7"/>
    <w:rsid w:val="00B62F7A"/>
    <w:rsid w:val="00B73A0A"/>
    <w:rsid w:val="00B7775A"/>
    <w:rsid w:val="00B86609"/>
    <w:rsid w:val="00B86985"/>
    <w:rsid w:val="00B970E6"/>
    <w:rsid w:val="00BA1D86"/>
    <w:rsid w:val="00BA37E9"/>
    <w:rsid w:val="00BB2A92"/>
    <w:rsid w:val="00BB4357"/>
    <w:rsid w:val="00BB5F54"/>
    <w:rsid w:val="00BC0740"/>
    <w:rsid w:val="00BC5EED"/>
    <w:rsid w:val="00BC732D"/>
    <w:rsid w:val="00BD1C31"/>
    <w:rsid w:val="00BD2BC1"/>
    <w:rsid w:val="00BD3D5B"/>
    <w:rsid w:val="00BD6A72"/>
    <w:rsid w:val="00BE4982"/>
    <w:rsid w:val="00BE7D90"/>
    <w:rsid w:val="00BF169D"/>
    <w:rsid w:val="00BF7BF3"/>
    <w:rsid w:val="00C01C22"/>
    <w:rsid w:val="00C115C3"/>
    <w:rsid w:val="00C1264A"/>
    <w:rsid w:val="00C16CBB"/>
    <w:rsid w:val="00C1752F"/>
    <w:rsid w:val="00C17835"/>
    <w:rsid w:val="00C25C90"/>
    <w:rsid w:val="00C33F5C"/>
    <w:rsid w:val="00C37ED0"/>
    <w:rsid w:val="00C41F36"/>
    <w:rsid w:val="00C465CC"/>
    <w:rsid w:val="00C46D17"/>
    <w:rsid w:val="00C47CC8"/>
    <w:rsid w:val="00C61088"/>
    <w:rsid w:val="00C62D97"/>
    <w:rsid w:val="00C66D37"/>
    <w:rsid w:val="00C717C4"/>
    <w:rsid w:val="00C74986"/>
    <w:rsid w:val="00C7542E"/>
    <w:rsid w:val="00C862EF"/>
    <w:rsid w:val="00C91AFA"/>
    <w:rsid w:val="00C99BFE"/>
    <w:rsid w:val="00CA409E"/>
    <w:rsid w:val="00CA7B98"/>
    <w:rsid w:val="00CB6CFC"/>
    <w:rsid w:val="00CC3990"/>
    <w:rsid w:val="00CC3C41"/>
    <w:rsid w:val="00CC908D"/>
    <w:rsid w:val="00CCFBAC"/>
    <w:rsid w:val="00CD068A"/>
    <w:rsid w:val="00CD2238"/>
    <w:rsid w:val="00CD5106"/>
    <w:rsid w:val="00CE0788"/>
    <w:rsid w:val="00CF6FCF"/>
    <w:rsid w:val="00CF7222"/>
    <w:rsid w:val="00D00820"/>
    <w:rsid w:val="00D00F5C"/>
    <w:rsid w:val="00D02967"/>
    <w:rsid w:val="00D10CA4"/>
    <w:rsid w:val="00D15F02"/>
    <w:rsid w:val="00D16CC3"/>
    <w:rsid w:val="00D24E0D"/>
    <w:rsid w:val="00D253B4"/>
    <w:rsid w:val="00D25D43"/>
    <w:rsid w:val="00D320AD"/>
    <w:rsid w:val="00D339D2"/>
    <w:rsid w:val="00D40130"/>
    <w:rsid w:val="00D44F08"/>
    <w:rsid w:val="00D50937"/>
    <w:rsid w:val="00D524D8"/>
    <w:rsid w:val="00D57AE2"/>
    <w:rsid w:val="00D61A7B"/>
    <w:rsid w:val="00D70A2B"/>
    <w:rsid w:val="00D7521A"/>
    <w:rsid w:val="00D814C6"/>
    <w:rsid w:val="00D81728"/>
    <w:rsid w:val="00D85DC9"/>
    <w:rsid w:val="00D92CEB"/>
    <w:rsid w:val="00DA36CD"/>
    <w:rsid w:val="00DA5BEB"/>
    <w:rsid w:val="00DA5CA5"/>
    <w:rsid w:val="00DB2C67"/>
    <w:rsid w:val="00DB42D3"/>
    <w:rsid w:val="00DC52D2"/>
    <w:rsid w:val="00DC5D53"/>
    <w:rsid w:val="00DC6336"/>
    <w:rsid w:val="00DD5ECE"/>
    <w:rsid w:val="00DD71FE"/>
    <w:rsid w:val="00DE449F"/>
    <w:rsid w:val="00DF0E89"/>
    <w:rsid w:val="00DF4F21"/>
    <w:rsid w:val="00DF6C37"/>
    <w:rsid w:val="00E160A6"/>
    <w:rsid w:val="00E25FE8"/>
    <w:rsid w:val="00E347D5"/>
    <w:rsid w:val="00E626EA"/>
    <w:rsid w:val="00E66175"/>
    <w:rsid w:val="00E6644B"/>
    <w:rsid w:val="00E70F94"/>
    <w:rsid w:val="00E72387"/>
    <w:rsid w:val="00E74CB6"/>
    <w:rsid w:val="00E850DA"/>
    <w:rsid w:val="00E85223"/>
    <w:rsid w:val="00E8619C"/>
    <w:rsid w:val="00E90D4E"/>
    <w:rsid w:val="00E9790C"/>
    <w:rsid w:val="00EA2FAB"/>
    <w:rsid w:val="00EA3480"/>
    <w:rsid w:val="00EB0ED2"/>
    <w:rsid w:val="00EB14FF"/>
    <w:rsid w:val="00EB3FC4"/>
    <w:rsid w:val="00EC0775"/>
    <w:rsid w:val="00EC462C"/>
    <w:rsid w:val="00EC7B5D"/>
    <w:rsid w:val="00ED0446"/>
    <w:rsid w:val="00ED04E2"/>
    <w:rsid w:val="00ED1668"/>
    <w:rsid w:val="00EE1538"/>
    <w:rsid w:val="00EE2C93"/>
    <w:rsid w:val="00EE5F48"/>
    <w:rsid w:val="00EF25D4"/>
    <w:rsid w:val="00EF285C"/>
    <w:rsid w:val="00F00880"/>
    <w:rsid w:val="00F01A01"/>
    <w:rsid w:val="00F02A0B"/>
    <w:rsid w:val="00F02D4A"/>
    <w:rsid w:val="00F13550"/>
    <w:rsid w:val="00F1799D"/>
    <w:rsid w:val="00F22ACC"/>
    <w:rsid w:val="00F24A10"/>
    <w:rsid w:val="00F30172"/>
    <w:rsid w:val="00F50D3B"/>
    <w:rsid w:val="00F52B8F"/>
    <w:rsid w:val="00F54FF7"/>
    <w:rsid w:val="00F6247A"/>
    <w:rsid w:val="00F67535"/>
    <w:rsid w:val="00F67C51"/>
    <w:rsid w:val="00F75729"/>
    <w:rsid w:val="00F826B4"/>
    <w:rsid w:val="00F87DF2"/>
    <w:rsid w:val="00F8E1D7"/>
    <w:rsid w:val="00FA08C9"/>
    <w:rsid w:val="00FA1651"/>
    <w:rsid w:val="00FA405D"/>
    <w:rsid w:val="00FB5FEF"/>
    <w:rsid w:val="00FC19F8"/>
    <w:rsid w:val="00FC428C"/>
    <w:rsid w:val="00FD57E8"/>
    <w:rsid w:val="00FE2AD2"/>
    <w:rsid w:val="00FF08CE"/>
    <w:rsid w:val="00FF0917"/>
    <w:rsid w:val="00FF55D9"/>
    <w:rsid w:val="00FF727C"/>
    <w:rsid w:val="010FD0EE"/>
    <w:rsid w:val="0118EA17"/>
    <w:rsid w:val="012965A3"/>
    <w:rsid w:val="013ECD36"/>
    <w:rsid w:val="016749D4"/>
    <w:rsid w:val="017B27FC"/>
    <w:rsid w:val="017B90C5"/>
    <w:rsid w:val="017FB229"/>
    <w:rsid w:val="018230D1"/>
    <w:rsid w:val="018A6AEE"/>
    <w:rsid w:val="018E96EA"/>
    <w:rsid w:val="01A54FBF"/>
    <w:rsid w:val="01AA968C"/>
    <w:rsid w:val="01F21728"/>
    <w:rsid w:val="01F8D33B"/>
    <w:rsid w:val="01FD874E"/>
    <w:rsid w:val="020ACA22"/>
    <w:rsid w:val="02136648"/>
    <w:rsid w:val="022CCE2A"/>
    <w:rsid w:val="022E845B"/>
    <w:rsid w:val="0244D86D"/>
    <w:rsid w:val="025DC296"/>
    <w:rsid w:val="02693180"/>
    <w:rsid w:val="02704FCC"/>
    <w:rsid w:val="02732FA9"/>
    <w:rsid w:val="029F4190"/>
    <w:rsid w:val="02A66BB8"/>
    <w:rsid w:val="02AB1C92"/>
    <w:rsid w:val="02B48192"/>
    <w:rsid w:val="02B5FFD9"/>
    <w:rsid w:val="02D252B7"/>
    <w:rsid w:val="02DB460A"/>
    <w:rsid w:val="02E648D4"/>
    <w:rsid w:val="02E88350"/>
    <w:rsid w:val="02F22276"/>
    <w:rsid w:val="030BAAA4"/>
    <w:rsid w:val="031C9043"/>
    <w:rsid w:val="03309C27"/>
    <w:rsid w:val="0369CD45"/>
    <w:rsid w:val="036B1E23"/>
    <w:rsid w:val="037816CD"/>
    <w:rsid w:val="039A0C14"/>
    <w:rsid w:val="03A9F684"/>
    <w:rsid w:val="03D170E6"/>
    <w:rsid w:val="03D3EF84"/>
    <w:rsid w:val="03DE4054"/>
    <w:rsid w:val="03EF6758"/>
    <w:rsid w:val="03FFD099"/>
    <w:rsid w:val="040EE964"/>
    <w:rsid w:val="0413BE44"/>
    <w:rsid w:val="0450232E"/>
    <w:rsid w:val="048DF2D7"/>
    <w:rsid w:val="04CF3D65"/>
    <w:rsid w:val="04D748D2"/>
    <w:rsid w:val="04EDA12E"/>
    <w:rsid w:val="0502CDEA"/>
    <w:rsid w:val="05138B75"/>
    <w:rsid w:val="051986E4"/>
    <w:rsid w:val="051A8FA2"/>
    <w:rsid w:val="0520281B"/>
    <w:rsid w:val="055F2082"/>
    <w:rsid w:val="056D4147"/>
    <w:rsid w:val="058DF613"/>
    <w:rsid w:val="058E69C2"/>
    <w:rsid w:val="05A09D20"/>
    <w:rsid w:val="05A25DE2"/>
    <w:rsid w:val="05A5B5F7"/>
    <w:rsid w:val="05B97EC1"/>
    <w:rsid w:val="05C52EB7"/>
    <w:rsid w:val="05C873F6"/>
    <w:rsid w:val="05CAEEA7"/>
    <w:rsid w:val="05DDA221"/>
    <w:rsid w:val="05EE11BC"/>
    <w:rsid w:val="06036C64"/>
    <w:rsid w:val="060E45B9"/>
    <w:rsid w:val="061E734F"/>
    <w:rsid w:val="0639DCE9"/>
    <w:rsid w:val="064A1733"/>
    <w:rsid w:val="064E6FCE"/>
    <w:rsid w:val="064F4B51"/>
    <w:rsid w:val="06578456"/>
    <w:rsid w:val="068F0007"/>
    <w:rsid w:val="069583DE"/>
    <w:rsid w:val="069A2EAA"/>
    <w:rsid w:val="06B834D7"/>
    <w:rsid w:val="06B9BA0C"/>
    <w:rsid w:val="06D12269"/>
    <w:rsid w:val="06ECD8B8"/>
    <w:rsid w:val="070822D1"/>
    <w:rsid w:val="070CBB52"/>
    <w:rsid w:val="070EF700"/>
    <w:rsid w:val="07263F87"/>
    <w:rsid w:val="0729DEFC"/>
    <w:rsid w:val="07382BF1"/>
    <w:rsid w:val="0739A1AA"/>
    <w:rsid w:val="073CD08E"/>
    <w:rsid w:val="0779EE8D"/>
    <w:rsid w:val="0785F16F"/>
    <w:rsid w:val="0787B401"/>
    <w:rsid w:val="079A5244"/>
    <w:rsid w:val="079B6F96"/>
    <w:rsid w:val="07A1AA57"/>
    <w:rsid w:val="07A84D36"/>
    <w:rsid w:val="07AF4F21"/>
    <w:rsid w:val="07B4FF2F"/>
    <w:rsid w:val="07BB8CCF"/>
    <w:rsid w:val="07CA3615"/>
    <w:rsid w:val="07DCDD5B"/>
    <w:rsid w:val="07DDD672"/>
    <w:rsid w:val="080BE623"/>
    <w:rsid w:val="081EB82A"/>
    <w:rsid w:val="083BE4A3"/>
    <w:rsid w:val="083FC019"/>
    <w:rsid w:val="086DC42A"/>
    <w:rsid w:val="08A52222"/>
    <w:rsid w:val="08AB389D"/>
    <w:rsid w:val="08BDC812"/>
    <w:rsid w:val="08C2228D"/>
    <w:rsid w:val="08D15DA3"/>
    <w:rsid w:val="08D3CB43"/>
    <w:rsid w:val="08D8A0EF"/>
    <w:rsid w:val="08E01DB6"/>
    <w:rsid w:val="08E09CA4"/>
    <w:rsid w:val="08E1E20F"/>
    <w:rsid w:val="08EE3C4C"/>
    <w:rsid w:val="0915BEEE"/>
    <w:rsid w:val="092AB4D7"/>
    <w:rsid w:val="0934317E"/>
    <w:rsid w:val="0959335C"/>
    <w:rsid w:val="096163FA"/>
    <w:rsid w:val="09650A24"/>
    <w:rsid w:val="096B9BAB"/>
    <w:rsid w:val="0975695C"/>
    <w:rsid w:val="09899172"/>
    <w:rsid w:val="098F23B5"/>
    <w:rsid w:val="09A24691"/>
    <w:rsid w:val="09B1BF9F"/>
    <w:rsid w:val="0A01517F"/>
    <w:rsid w:val="0A041F2B"/>
    <w:rsid w:val="0A170F28"/>
    <w:rsid w:val="0A1780F4"/>
    <w:rsid w:val="0A2E710F"/>
    <w:rsid w:val="0A4C34AE"/>
    <w:rsid w:val="0A507A68"/>
    <w:rsid w:val="0A50A9E3"/>
    <w:rsid w:val="0A51F597"/>
    <w:rsid w:val="0A53201B"/>
    <w:rsid w:val="0A61D0C5"/>
    <w:rsid w:val="0A68D709"/>
    <w:rsid w:val="0A716F72"/>
    <w:rsid w:val="0A912DBC"/>
    <w:rsid w:val="0A9DCFEA"/>
    <w:rsid w:val="0AAADF7C"/>
    <w:rsid w:val="0AD46A16"/>
    <w:rsid w:val="0AE66325"/>
    <w:rsid w:val="0AFD345B"/>
    <w:rsid w:val="0B03CE07"/>
    <w:rsid w:val="0B142964"/>
    <w:rsid w:val="0B48931A"/>
    <w:rsid w:val="0B604E44"/>
    <w:rsid w:val="0B68A79F"/>
    <w:rsid w:val="0B70CE04"/>
    <w:rsid w:val="0B7FD0DA"/>
    <w:rsid w:val="0B965353"/>
    <w:rsid w:val="0B97945D"/>
    <w:rsid w:val="0B9E9C7E"/>
    <w:rsid w:val="0BA32885"/>
    <w:rsid w:val="0BA89E14"/>
    <w:rsid w:val="0BC5A880"/>
    <w:rsid w:val="0BE5099C"/>
    <w:rsid w:val="0BF71954"/>
    <w:rsid w:val="0C072B1C"/>
    <w:rsid w:val="0C12D6D3"/>
    <w:rsid w:val="0C2104C5"/>
    <w:rsid w:val="0C21C19D"/>
    <w:rsid w:val="0C25B86A"/>
    <w:rsid w:val="0C34D995"/>
    <w:rsid w:val="0C3D07A6"/>
    <w:rsid w:val="0C5694AA"/>
    <w:rsid w:val="0C5A0700"/>
    <w:rsid w:val="0C638F0C"/>
    <w:rsid w:val="0C6C9EAF"/>
    <w:rsid w:val="0C78FA51"/>
    <w:rsid w:val="0C827DE3"/>
    <w:rsid w:val="0C87B579"/>
    <w:rsid w:val="0C892A34"/>
    <w:rsid w:val="0C89C709"/>
    <w:rsid w:val="0C8F1EF8"/>
    <w:rsid w:val="0C9F29A6"/>
    <w:rsid w:val="0CA6A27C"/>
    <w:rsid w:val="0CA7A747"/>
    <w:rsid w:val="0CC14842"/>
    <w:rsid w:val="0CCFEB1E"/>
    <w:rsid w:val="0CD63B13"/>
    <w:rsid w:val="0CDC1806"/>
    <w:rsid w:val="0CE7AA81"/>
    <w:rsid w:val="0CF5DCCF"/>
    <w:rsid w:val="0D12BC59"/>
    <w:rsid w:val="0D17BE3B"/>
    <w:rsid w:val="0D1B5DEA"/>
    <w:rsid w:val="0D34D1B3"/>
    <w:rsid w:val="0D49DCC3"/>
    <w:rsid w:val="0D5A3C16"/>
    <w:rsid w:val="0D738608"/>
    <w:rsid w:val="0D77CE2F"/>
    <w:rsid w:val="0D7B121D"/>
    <w:rsid w:val="0D80F71D"/>
    <w:rsid w:val="0DA05880"/>
    <w:rsid w:val="0DA0DF95"/>
    <w:rsid w:val="0DA2FB7D"/>
    <w:rsid w:val="0DC10E68"/>
    <w:rsid w:val="0DD64778"/>
    <w:rsid w:val="0DE37728"/>
    <w:rsid w:val="0E0C0AD8"/>
    <w:rsid w:val="0E22F468"/>
    <w:rsid w:val="0E268FF2"/>
    <w:rsid w:val="0E2F75EA"/>
    <w:rsid w:val="0E4576E7"/>
    <w:rsid w:val="0E480D7B"/>
    <w:rsid w:val="0E669D7F"/>
    <w:rsid w:val="0E6924C0"/>
    <w:rsid w:val="0E8002A8"/>
    <w:rsid w:val="0E806F39"/>
    <w:rsid w:val="0EA0D3E5"/>
    <w:rsid w:val="0EEA9AEC"/>
    <w:rsid w:val="0EEAE77F"/>
    <w:rsid w:val="0EF1A1B2"/>
    <w:rsid w:val="0EFC44FF"/>
    <w:rsid w:val="0EFEDE94"/>
    <w:rsid w:val="0F0025DF"/>
    <w:rsid w:val="0F011196"/>
    <w:rsid w:val="0F105DE6"/>
    <w:rsid w:val="0F1BAE30"/>
    <w:rsid w:val="0F1BB0FF"/>
    <w:rsid w:val="0F3E3E32"/>
    <w:rsid w:val="0F41F587"/>
    <w:rsid w:val="0F56AC86"/>
    <w:rsid w:val="0F649EDF"/>
    <w:rsid w:val="0F6C7A57"/>
    <w:rsid w:val="0FA68F7D"/>
    <w:rsid w:val="0FADB784"/>
    <w:rsid w:val="0FAE8C67"/>
    <w:rsid w:val="0FB1EC97"/>
    <w:rsid w:val="0FCBCAEA"/>
    <w:rsid w:val="0FD0A57E"/>
    <w:rsid w:val="0FD38C1C"/>
    <w:rsid w:val="0FEB608A"/>
    <w:rsid w:val="0FFB3A85"/>
    <w:rsid w:val="10081856"/>
    <w:rsid w:val="101086C3"/>
    <w:rsid w:val="101BD309"/>
    <w:rsid w:val="1024C41F"/>
    <w:rsid w:val="10293FC2"/>
    <w:rsid w:val="1033C278"/>
    <w:rsid w:val="106F512F"/>
    <w:rsid w:val="1074E0C9"/>
    <w:rsid w:val="1081F85F"/>
    <w:rsid w:val="1097F5C1"/>
    <w:rsid w:val="109A5E6E"/>
    <w:rsid w:val="10ACB7C5"/>
    <w:rsid w:val="10B3341D"/>
    <w:rsid w:val="10D3AD92"/>
    <w:rsid w:val="10D5BCD3"/>
    <w:rsid w:val="1118986E"/>
    <w:rsid w:val="111DC553"/>
    <w:rsid w:val="112C6A28"/>
    <w:rsid w:val="113B40A9"/>
    <w:rsid w:val="117C7D1C"/>
    <w:rsid w:val="1187B31D"/>
    <w:rsid w:val="1188884C"/>
    <w:rsid w:val="118B12FB"/>
    <w:rsid w:val="11AC3DB2"/>
    <w:rsid w:val="11B2FE47"/>
    <w:rsid w:val="11B7A36A"/>
    <w:rsid w:val="11C12CA3"/>
    <w:rsid w:val="11C33F1A"/>
    <w:rsid w:val="11FF3EA8"/>
    <w:rsid w:val="12051C62"/>
    <w:rsid w:val="120B2190"/>
    <w:rsid w:val="120B4E6A"/>
    <w:rsid w:val="125A4227"/>
    <w:rsid w:val="125AFD30"/>
    <w:rsid w:val="126FAD3E"/>
    <w:rsid w:val="12746DAC"/>
    <w:rsid w:val="129C3FA1"/>
    <w:rsid w:val="12A55219"/>
    <w:rsid w:val="12D1FBC4"/>
    <w:rsid w:val="12DE6633"/>
    <w:rsid w:val="12EDA66E"/>
    <w:rsid w:val="12F7A3AA"/>
    <w:rsid w:val="130B2CDE"/>
    <w:rsid w:val="131D29C6"/>
    <w:rsid w:val="1336AB47"/>
    <w:rsid w:val="133D0E67"/>
    <w:rsid w:val="133DE2D4"/>
    <w:rsid w:val="13404731"/>
    <w:rsid w:val="135373CB"/>
    <w:rsid w:val="1356E4E9"/>
    <w:rsid w:val="136177F3"/>
    <w:rsid w:val="1394A778"/>
    <w:rsid w:val="13B05275"/>
    <w:rsid w:val="13C53085"/>
    <w:rsid w:val="13D3B32F"/>
    <w:rsid w:val="13D81EC4"/>
    <w:rsid w:val="13E28458"/>
    <w:rsid w:val="1406CE88"/>
    <w:rsid w:val="141073D6"/>
    <w:rsid w:val="141AC038"/>
    <w:rsid w:val="1428235D"/>
    <w:rsid w:val="142B681D"/>
    <w:rsid w:val="14314E1B"/>
    <w:rsid w:val="1434B603"/>
    <w:rsid w:val="1458DCDC"/>
    <w:rsid w:val="145F1937"/>
    <w:rsid w:val="149518BE"/>
    <w:rsid w:val="14D7173E"/>
    <w:rsid w:val="14D8DEC8"/>
    <w:rsid w:val="14FB4082"/>
    <w:rsid w:val="15033E47"/>
    <w:rsid w:val="15295743"/>
    <w:rsid w:val="1559DC70"/>
    <w:rsid w:val="156A79DA"/>
    <w:rsid w:val="156F63AE"/>
    <w:rsid w:val="157030BE"/>
    <w:rsid w:val="1572DAA8"/>
    <w:rsid w:val="1585EC12"/>
    <w:rsid w:val="1597D994"/>
    <w:rsid w:val="15A63F3C"/>
    <w:rsid w:val="15AD8E55"/>
    <w:rsid w:val="15C17CD4"/>
    <w:rsid w:val="15D08664"/>
    <w:rsid w:val="15FA5898"/>
    <w:rsid w:val="16154311"/>
    <w:rsid w:val="16161E37"/>
    <w:rsid w:val="16175448"/>
    <w:rsid w:val="161FE1E0"/>
    <w:rsid w:val="162841F2"/>
    <w:rsid w:val="16352D55"/>
    <w:rsid w:val="16404D64"/>
    <w:rsid w:val="1664BA29"/>
    <w:rsid w:val="16668678"/>
    <w:rsid w:val="166BC79F"/>
    <w:rsid w:val="167782F3"/>
    <w:rsid w:val="1677E7F3"/>
    <w:rsid w:val="167CCF37"/>
    <w:rsid w:val="168327D1"/>
    <w:rsid w:val="168A99E7"/>
    <w:rsid w:val="168DCE7C"/>
    <w:rsid w:val="16ABE258"/>
    <w:rsid w:val="16B30EA6"/>
    <w:rsid w:val="16DB772D"/>
    <w:rsid w:val="16EEF808"/>
    <w:rsid w:val="170B1666"/>
    <w:rsid w:val="171A8261"/>
    <w:rsid w:val="1726B215"/>
    <w:rsid w:val="1731A320"/>
    <w:rsid w:val="17381540"/>
    <w:rsid w:val="1748E1A4"/>
    <w:rsid w:val="175B553A"/>
    <w:rsid w:val="176C56C5"/>
    <w:rsid w:val="177A9617"/>
    <w:rsid w:val="1792C4FF"/>
    <w:rsid w:val="179D9588"/>
    <w:rsid w:val="17AF1722"/>
    <w:rsid w:val="17B4D379"/>
    <w:rsid w:val="17B99771"/>
    <w:rsid w:val="17DC7AFF"/>
    <w:rsid w:val="17DE527A"/>
    <w:rsid w:val="181FABB8"/>
    <w:rsid w:val="1832E7D0"/>
    <w:rsid w:val="18450090"/>
    <w:rsid w:val="18457F91"/>
    <w:rsid w:val="18930DE5"/>
    <w:rsid w:val="18B75AB3"/>
    <w:rsid w:val="18C59492"/>
    <w:rsid w:val="18DFB035"/>
    <w:rsid w:val="18E0CC92"/>
    <w:rsid w:val="190E4800"/>
    <w:rsid w:val="190F2225"/>
    <w:rsid w:val="19354498"/>
    <w:rsid w:val="193B57F2"/>
    <w:rsid w:val="194A2DC9"/>
    <w:rsid w:val="195BD5A4"/>
    <w:rsid w:val="19601A1F"/>
    <w:rsid w:val="198402A0"/>
    <w:rsid w:val="19A16065"/>
    <w:rsid w:val="19A17929"/>
    <w:rsid w:val="19BE3536"/>
    <w:rsid w:val="19C2030A"/>
    <w:rsid w:val="19C531BA"/>
    <w:rsid w:val="19CC0222"/>
    <w:rsid w:val="19EC4144"/>
    <w:rsid w:val="19EF6C92"/>
    <w:rsid w:val="1A46A564"/>
    <w:rsid w:val="1A4B8966"/>
    <w:rsid w:val="1A4C8AEF"/>
    <w:rsid w:val="1A57A831"/>
    <w:rsid w:val="1A77A388"/>
    <w:rsid w:val="1AACFEC0"/>
    <w:rsid w:val="1AC46CBD"/>
    <w:rsid w:val="1ACE94D0"/>
    <w:rsid w:val="1ACFA6DB"/>
    <w:rsid w:val="1AD16583"/>
    <w:rsid w:val="1AE32FE3"/>
    <w:rsid w:val="1AFBA019"/>
    <w:rsid w:val="1B18486D"/>
    <w:rsid w:val="1B18A56C"/>
    <w:rsid w:val="1B1B8771"/>
    <w:rsid w:val="1B2A4106"/>
    <w:rsid w:val="1B39F79B"/>
    <w:rsid w:val="1B3D498A"/>
    <w:rsid w:val="1B43473D"/>
    <w:rsid w:val="1B59D208"/>
    <w:rsid w:val="1B68215C"/>
    <w:rsid w:val="1B7869AE"/>
    <w:rsid w:val="1B7D77F5"/>
    <w:rsid w:val="1B952D8F"/>
    <w:rsid w:val="1BC03A93"/>
    <w:rsid w:val="1BC1B79C"/>
    <w:rsid w:val="1BC416B5"/>
    <w:rsid w:val="1BC4B117"/>
    <w:rsid w:val="1BCD05C9"/>
    <w:rsid w:val="1BDA82D0"/>
    <w:rsid w:val="1BDDD266"/>
    <w:rsid w:val="1BE8D2C9"/>
    <w:rsid w:val="1BF6AC17"/>
    <w:rsid w:val="1BFDF3C7"/>
    <w:rsid w:val="1BFEEA7A"/>
    <w:rsid w:val="1C11C539"/>
    <w:rsid w:val="1C2B5123"/>
    <w:rsid w:val="1C4BFBD9"/>
    <w:rsid w:val="1C5BE579"/>
    <w:rsid w:val="1C5FB5AD"/>
    <w:rsid w:val="1C74A5FA"/>
    <w:rsid w:val="1C810C10"/>
    <w:rsid w:val="1CA1043A"/>
    <w:rsid w:val="1CA1B7B6"/>
    <w:rsid w:val="1CA8C544"/>
    <w:rsid w:val="1CB347D2"/>
    <w:rsid w:val="1CBE6A5F"/>
    <w:rsid w:val="1CD20688"/>
    <w:rsid w:val="1D0E6EDC"/>
    <w:rsid w:val="1D36775D"/>
    <w:rsid w:val="1D3A3F29"/>
    <w:rsid w:val="1D3CFAD8"/>
    <w:rsid w:val="1D47530A"/>
    <w:rsid w:val="1D4FB442"/>
    <w:rsid w:val="1D616D18"/>
    <w:rsid w:val="1D6DF057"/>
    <w:rsid w:val="1D748508"/>
    <w:rsid w:val="1D762096"/>
    <w:rsid w:val="1D7C1DBF"/>
    <w:rsid w:val="1D83F4BE"/>
    <w:rsid w:val="1D899DB1"/>
    <w:rsid w:val="1D9B30C6"/>
    <w:rsid w:val="1D9C65A1"/>
    <w:rsid w:val="1DA74168"/>
    <w:rsid w:val="1DA95B1E"/>
    <w:rsid w:val="1DB10CEF"/>
    <w:rsid w:val="1DC4C958"/>
    <w:rsid w:val="1DDAD899"/>
    <w:rsid w:val="1DDAEC6A"/>
    <w:rsid w:val="1E39973F"/>
    <w:rsid w:val="1E3E29AD"/>
    <w:rsid w:val="1E55CA5F"/>
    <w:rsid w:val="1E605A75"/>
    <w:rsid w:val="1E7C9F0F"/>
    <w:rsid w:val="1E8E596B"/>
    <w:rsid w:val="1E9C7C4B"/>
    <w:rsid w:val="1E9E13F8"/>
    <w:rsid w:val="1EB4B4ED"/>
    <w:rsid w:val="1EB9EE82"/>
    <w:rsid w:val="1EC79C67"/>
    <w:rsid w:val="1ED3F57E"/>
    <w:rsid w:val="1EDF9025"/>
    <w:rsid w:val="1EEC4EA9"/>
    <w:rsid w:val="1EF187BD"/>
    <w:rsid w:val="1F024F69"/>
    <w:rsid w:val="1F0700B1"/>
    <w:rsid w:val="1F105569"/>
    <w:rsid w:val="1F19BCEE"/>
    <w:rsid w:val="1F432725"/>
    <w:rsid w:val="1F4CB574"/>
    <w:rsid w:val="1F6C7422"/>
    <w:rsid w:val="1F6F0B60"/>
    <w:rsid w:val="1F8BAB8D"/>
    <w:rsid w:val="1F8E9A2C"/>
    <w:rsid w:val="1F97566F"/>
    <w:rsid w:val="1FBDF1F4"/>
    <w:rsid w:val="1FD38C41"/>
    <w:rsid w:val="1FDBA5DF"/>
    <w:rsid w:val="1FFBE1FE"/>
    <w:rsid w:val="2004E1ED"/>
    <w:rsid w:val="200B4CD9"/>
    <w:rsid w:val="200D68BE"/>
    <w:rsid w:val="2033CB27"/>
    <w:rsid w:val="2039318D"/>
    <w:rsid w:val="204BACAA"/>
    <w:rsid w:val="2076C0EF"/>
    <w:rsid w:val="20778D07"/>
    <w:rsid w:val="207CC3AA"/>
    <w:rsid w:val="208B1962"/>
    <w:rsid w:val="208D7309"/>
    <w:rsid w:val="2090263C"/>
    <w:rsid w:val="20BCB743"/>
    <w:rsid w:val="20CBF223"/>
    <w:rsid w:val="20DEE22A"/>
    <w:rsid w:val="20DEF786"/>
    <w:rsid w:val="210E164B"/>
    <w:rsid w:val="2119EC3E"/>
    <w:rsid w:val="2129E01B"/>
    <w:rsid w:val="2136A975"/>
    <w:rsid w:val="2144C87F"/>
    <w:rsid w:val="21739DEF"/>
    <w:rsid w:val="217F58DF"/>
    <w:rsid w:val="2180470E"/>
    <w:rsid w:val="21985BCD"/>
    <w:rsid w:val="219996B4"/>
    <w:rsid w:val="21A585DB"/>
    <w:rsid w:val="21A60E77"/>
    <w:rsid w:val="21BDF020"/>
    <w:rsid w:val="21D5B4BA"/>
    <w:rsid w:val="21D5CEE9"/>
    <w:rsid w:val="21DCD216"/>
    <w:rsid w:val="21E3D0FF"/>
    <w:rsid w:val="21FBE53F"/>
    <w:rsid w:val="22117D81"/>
    <w:rsid w:val="22140D0D"/>
    <w:rsid w:val="2222B526"/>
    <w:rsid w:val="2234DE3B"/>
    <w:rsid w:val="2238FE9A"/>
    <w:rsid w:val="223B27BC"/>
    <w:rsid w:val="223E4676"/>
    <w:rsid w:val="224468CA"/>
    <w:rsid w:val="224796B8"/>
    <w:rsid w:val="2251B3CF"/>
    <w:rsid w:val="225EB78C"/>
    <w:rsid w:val="227AC7E7"/>
    <w:rsid w:val="227C3698"/>
    <w:rsid w:val="227E5917"/>
    <w:rsid w:val="2283D713"/>
    <w:rsid w:val="2286F627"/>
    <w:rsid w:val="22A5DD33"/>
    <w:rsid w:val="22AC3509"/>
    <w:rsid w:val="22BC295C"/>
    <w:rsid w:val="22D279D6"/>
    <w:rsid w:val="22E421EA"/>
    <w:rsid w:val="22EBFEC6"/>
    <w:rsid w:val="22F7FAD5"/>
    <w:rsid w:val="22F8F952"/>
    <w:rsid w:val="230DDBDB"/>
    <w:rsid w:val="2320ADD7"/>
    <w:rsid w:val="232810A3"/>
    <w:rsid w:val="2331224A"/>
    <w:rsid w:val="23485B6F"/>
    <w:rsid w:val="23505499"/>
    <w:rsid w:val="235D5003"/>
    <w:rsid w:val="236869BE"/>
    <w:rsid w:val="2369C374"/>
    <w:rsid w:val="23719F4A"/>
    <w:rsid w:val="237B884C"/>
    <w:rsid w:val="2391A87C"/>
    <w:rsid w:val="239DD2F5"/>
    <w:rsid w:val="23B0FBC3"/>
    <w:rsid w:val="23B30148"/>
    <w:rsid w:val="23B6948E"/>
    <w:rsid w:val="23D3A7CC"/>
    <w:rsid w:val="23E14763"/>
    <w:rsid w:val="23F55D17"/>
    <w:rsid w:val="23FF2984"/>
    <w:rsid w:val="242EEEA8"/>
    <w:rsid w:val="2452B328"/>
    <w:rsid w:val="247FF24B"/>
    <w:rsid w:val="2497B051"/>
    <w:rsid w:val="24AECA6F"/>
    <w:rsid w:val="24AF5C97"/>
    <w:rsid w:val="24B97529"/>
    <w:rsid w:val="24BC7664"/>
    <w:rsid w:val="24CF9BF9"/>
    <w:rsid w:val="24D6C241"/>
    <w:rsid w:val="24F3C0D5"/>
    <w:rsid w:val="24F92064"/>
    <w:rsid w:val="2512610B"/>
    <w:rsid w:val="2518A7A5"/>
    <w:rsid w:val="2518CF63"/>
    <w:rsid w:val="25196B06"/>
    <w:rsid w:val="2528CBBE"/>
    <w:rsid w:val="255D437E"/>
    <w:rsid w:val="2564D0F0"/>
    <w:rsid w:val="2581E2B7"/>
    <w:rsid w:val="25867BE8"/>
    <w:rsid w:val="25B90B0C"/>
    <w:rsid w:val="25CE0B60"/>
    <w:rsid w:val="25E2EBCB"/>
    <w:rsid w:val="26077C25"/>
    <w:rsid w:val="26098E81"/>
    <w:rsid w:val="260E8579"/>
    <w:rsid w:val="2619AC3C"/>
    <w:rsid w:val="2622B6DE"/>
    <w:rsid w:val="26309A14"/>
    <w:rsid w:val="263B1197"/>
    <w:rsid w:val="264216CD"/>
    <w:rsid w:val="2643D1DC"/>
    <w:rsid w:val="264AE763"/>
    <w:rsid w:val="264C8A6D"/>
    <w:rsid w:val="265CD660"/>
    <w:rsid w:val="26628A9B"/>
    <w:rsid w:val="266B9612"/>
    <w:rsid w:val="268B0DFD"/>
    <w:rsid w:val="2694F0C5"/>
    <w:rsid w:val="26A55FC5"/>
    <w:rsid w:val="26AD4BD6"/>
    <w:rsid w:val="26B5C926"/>
    <w:rsid w:val="26B7EA9F"/>
    <w:rsid w:val="26DB7817"/>
    <w:rsid w:val="26DD87AF"/>
    <w:rsid w:val="26E223B6"/>
    <w:rsid w:val="2717431F"/>
    <w:rsid w:val="27482A26"/>
    <w:rsid w:val="275E1C42"/>
    <w:rsid w:val="2761D064"/>
    <w:rsid w:val="277FA62C"/>
    <w:rsid w:val="2784C403"/>
    <w:rsid w:val="2786A4FD"/>
    <w:rsid w:val="27A93763"/>
    <w:rsid w:val="27A9AF89"/>
    <w:rsid w:val="27BEF746"/>
    <w:rsid w:val="27E0E21C"/>
    <w:rsid w:val="27F3C7A0"/>
    <w:rsid w:val="27F42303"/>
    <w:rsid w:val="281F2CB3"/>
    <w:rsid w:val="2821F8AF"/>
    <w:rsid w:val="2829DF3A"/>
    <w:rsid w:val="284943CC"/>
    <w:rsid w:val="284A874C"/>
    <w:rsid w:val="28550F08"/>
    <w:rsid w:val="2860BA7B"/>
    <w:rsid w:val="28653BF7"/>
    <w:rsid w:val="287BC70E"/>
    <w:rsid w:val="288332E3"/>
    <w:rsid w:val="28871803"/>
    <w:rsid w:val="289E0E48"/>
    <w:rsid w:val="28BF5714"/>
    <w:rsid w:val="28C7AF90"/>
    <w:rsid w:val="28D14E3A"/>
    <w:rsid w:val="28DCABA2"/>
    <w:rsid w:val="28ED179C"/>
    <w:rsid w:val="29058B56"/>
    <w:rsid w:val="2906F89D"/>
    <w:rsid w:val="29131FA6"/>
    <w:rsid w:val="291B1B88"/>
    <w:rsid w:val="2922A852"/>
    <w:rsid w:val="29412F43"/>
    <w:rsid w:val="2952AF89"/>
    <w:rsid w:val="29546C2C"/>
    <w:rsid w:val="298F6F76"/>
    <w:rsid w:val="299296F0"/>
    <w:rsid w:val="299D57B4"/>
    <w:rsid w:val="29A336D4"/>
    <w:rsid w:val="29B62FEE"/>
    <w:rsid w:val="29B7540C"/>
    <w:rsid w:val="29CFCCBA"/>
    <w:rsid w:val="29F14FF6"/>
    <w:rsid w:val="2A1DC071"/>
    <w:rsid w:val="2A2236AF"/>
    <w:rsid w:val="2A67BA61"/>
    <w:rsid w:val="2A7395C3"/>
    <w:rsid w:val="2A77AEB4"/>
    <w:rsid w:val="2A843BA4"/>
    <w:rsid w:val="2A896F7E"/>
    <w:rsid w:val="2A8AA861"/>
    <w:rsid w:val="2A955222"/>
    <w:rsid w:val="2A95814F"/>
    <w:rsid w:val="2A9E17F2"/>
    <w:rsid w:val="2AA04715"/>
    <w:rsid w:val="2AE379BC"/>
    <w:rsid w:val="2AE5195F"/>
    <w:rsid w:val="2AF0E5B7"/>
    <w:rsid w:val="2AF8E334"/>
    <w:rsid w:val="2B1077DB"/>
    <w:rsid w:val="2B1E0BF3"/>
    <w:rsid w:val="2B2EF393"/>
    <w:rsid w:val="2B4B74AD"/>
    <w:rsid w:val="2B4D5B98"/>
    <w:rsid w:val="2B4DCC54"/>
    <w:rsid w:val="2B6DA4A5"/>
    <w:rsid w:val="2B83FA25"/>
    <w:rsid w:val="2B96D985"/>
    <w:rsid w:val="2B9EB1C5"/>
    <w:rsid w:val="2BA365C5"/>
    <w:rsid w:val="2BB33EC1"/>
    <w:rsid w:val="2BB3E8FC"/>
    <w:rsid w:val="2BDF8833"/>
    <w:rsid w:val="2BEAE0B3"/>
    <w:rsid w:val="2BF22115"/>
    <w:rsid w:val="2BF5CBEE"/>
    <w:rsid w:val="2C18ADE3"/>
    <w:rsid w:val="2C453891"/>
    <w:rsid w:val="2C4A8E63"/>
    <w:rsid w:val="2C547E6F"/>
    <w:rsid w:val="2C58EFB1"/>
    <w:rsid w:val="2C66EF5F"/>
    <w:rsid w:val="2C7E001B"/>
    <w:rsid w:val="2C858AD1"/>
    <w:rsid w:val="2C90BAA7"/>
    <w:rsid w:val="2C91F862"/>
    <w:rsid w:val="2CE731BD"/>
    <w:rsid w:val="2D04034F"/>
    <w:rsid w:val="2D08E13B"/>
    <w:rsid w:val="2D1E7E03"/>
    <w:rsid w:val="2D43ABFF"/>
    <w:rsid w:val="2D4E0450"/>
    <w:rsid w:val="2D6B898A"/>
    <w:rsid w:val="2D8A241B"/>
    <w:rsid w:val="2D94C37D"/>
    <w:rsid w:val="2D954E95"/>
    <w:rsid w:val="2DA8644E"/>
    <w:rsid w:val="2DB08DC8"/>
    <w:rsid w:val="2DBAB2B1"/>
    <w:rsid w:val="2DD370F6"/>
    <w:rsid w:val="2DDBED45"/>
    <w:rsid w:val="2DE01941"/>
    <w:rsid w:val="2DE57C33"/>
    <w:rsid w:val="2DEE8CAB"/>
    <w:rsid w:val="2DF427F8"/>
    <w:rsid w:val="2DF9A999"/>
    <w:rsid w:val="2E05879B"/>
    <w:rsid w:val="2E07A675"/>
    <w:rsid w:val="2E0BABBB"/>
    <w:rsid w:val="2E10789C"/>
    <w:rsid w:val="2E237BCD"/>
    <w:rsid w:val="2E2B25DE"/>
    <w:rsid w:val="2E2CF319"/>
    <w:rsid w:val="2E40A427"/>
    <w:rsid w:val="2E4FE1DA"/>
    <w:rsid w:val="2E52E626"/>
    <w:rsid w:val="2E572268"/>
    <w:rsid w:val="2E89C415"/>
    <w:rsid w:val="2E99CBDF"/>
    <w:rsid w:val="2E9E7D02"/>
    <w:rsid w:val="2EBB551E"/>
    <w:rsid w:val="2EC9DAC0"/>
    <w:rsid w:val="2EE1DAA8"/>
    <w:rsid w:val="2EED04DA"/>
    <w:rsid w:val="2EFCB56E"/>
    <w:rsid w:val="2F0AA628"/>
    <w:rsid w:val="2F133E2B"/>
    <w:rsid w:val="2F249526"/>
    <w:rsid w:val="2F5052D2"/>
    <w:rsid w:val="2F51A426"/>
    <w:rsid w:val="2F598CE6"/>
    <w:rsid w:val="2F707F6E"/>
    <w:rsid w:val="2F849444"/>
    <w:rsid w:val="2F86E4D2"/>
    <w:rsid w:val="2F9B9F78"/>
    <w:rsid w:val="2FB29BD6"/>
    <w:rsid w:val="2FBF7C72"/>
    <w:rsid w:val="2FD65606"/>
    <w:rsid w:val="2FE2EF28"/>
    <w:rsid w:val="2FE87284"/>
    <w:rsid w:val="2FE8E69A"/>
    <w:rsid w:val="2FF94FFB"/>
    <w:rsid w:val="3000A014"/>
    <w:rsid w:val="3006BA4D"/>
    <w:rsid w:val="30214469"/>
    <w:rsid w:val="3029105E"/>
    <w:rsid w:val="302C7D41"/>
    <w:rsid w:val="30336A30"/>
    <w:rsid w:val="30409BD4"/>
    <w:rsid w:val="304D6304"/>
    <w:rsid w:val="3066363F"/>
    <w:rsid w:val="30AB219B"/>
    <w:rsid w:val="30CE25EB"/>
    <w:rsid w:val="30D51A7F"/>
    <w:rsid w:val="30DAEF2F"/>
    <w:rsid w:val="30DF6469"/>
    <w:rsid w:val="30E8CB53"/>
    <w:rsid w:val="3101790D"/>
    <w:rsid w:val="31037E30"/>
    <w:rsid w:val="3107A34C"/>
    <w:rsid w:val="310D5805"/>
    <w:rsid w:val="31138E07"/>
    <w:rsid w:val="3116E806"/>
    <w:rsid w:val="3135B9DF"/>
    <w:rsid w:val="314FDD3C"/>
    <w:rsid w:val="31532540"/>
    <w:rsid w:val="3157B444"/>
    <w:rsid w:val="315D1EAB"/>
    <w:rsid w:val="3163E31A"/>
    <w:rsid w:val="316D820A"/>
    <w:rsid w:val="3171BF70"/>
    <w:rsid w:val="31730D7B"/>
    <w:rsid w:val="317BC67A"/>
    <w:rsid w:val="317C80BE"/>
    <w:rsid w:val="31917643"/>
    <w:rsid w:val="31A28AAE"/>
    <w:rsid w:val="31D19BD8"/>
    <w:rsid w:val="31EE935E"/>
    <w:rsid w:val="320EC78E"/>
    <w:rsid w:val="321AA3DF"/>
    <w:rsid w:val="322F8ED1"/>
    <w:rsid w:val="323ABF27"/>
    <w:rsid w:val="324DE751"/>
    <w:rsid w:val="3257C6DE"/>
    <w:rsid w:val="327E5C4E"/>
    <w:rsid w:val="3286A192"/>
    <w:rsid w:val="3292211C"/>
    <w:rsid w:val="3293660B"/>
    <w:rsid w:val="32AA962E"/>
    <w:rsid w:val="32B24A08"/>
    <w:rsid w:val="32F4CBF6"/>
    <w:rsid w:val="32FC8543"/>
    <w:rsid w:val="32FC8A73"/>
    <w:rsid w:val="32FD900D"/>
    <w:rsid w:val="3302333A"/>
    <w:rsid w:val="330620D2"/>
    <w:rsid w:val="330A35AD"/>
    <w:rsid w:val="3321B7A7"/>
    <w:rsid w:val="332AAE8B"/>
    <w:rsid w:val="3330F0BD"/>
    <w:rsid w:val="33339CD7"/>
    <w:rsid w:val="3350DF29"/>
    <w:rsid w:val="3353AEB9"/>
    <w:rsid w:val="335B060C"/>
    <w:rsid w:val="3362EF4E"/>
    <w:rsid w:val="33737A08"/>
    <w:rsid w:val="337AE26A"/>
    <w:rsid w:val="3380071B"/>
    <w:rsid w:val="338B3F23"/>
    <w:rsid w:val="338F8BB9"/>
    <w:rsid w:val="33A9A18B"/>
    <w:rsid w:val="33AA4263"/>
    <w:rsid w:val="33AC8CE5"/>
    <w:rsid w:val="33AEAD1B"/>
    <w:rsid w:val="33B03B46"/>
    <w:rsid w:val="33BE73CC"/>
    <w:rsid w:val="33C4DF09"/>
    <w:rsid w:val="33E3EFBB"/>
    <w:rsid w:val="33E9D05E"/>
    <w:rsid w:val="33F1B2CD"/>
    <w:rsid w:val="33F3C4B4"/>
    <w:rsid w:val="33F5405B"/>
    <w:rsid w:val="33FF562A"/>
    <w:rsid w:val="34144FA0"/>
    <w:rsid w:val="341715F0"/>
    <w:rsid w:val="34214915"/>
    <w:rsid w:val="3423C462"/>
    <w:rsid w:val="34333071"/>
    <w:rsid w:val="344084EF"/>
    <w:rsid w:val="3452130F"/>
    <w:rsid w:val="34676760"/>
    <w:rsid w:val="3472FA34"/>
    <w:rsid w:val="3477788F"/>
    <w:rsid w:val="34874A80"/>
    <w:rsid w:val="3487605C"/>
    <w:rsid w:val="348B1F04"/>
    <w:rsid w:val="34901417"/>
    <w:rsid w:val="349EA6B7"/>
    <w:rsid w:val="34A33A22"/>
    <w:rsid w:val="34AFE5AB"/>
    <w:rsid w:val="34C16CFC"/>
    <w:rsid w:val="34CB831A"/>
    <w:rsid w:val="34DB4A6D"/>
    <w:rsid w:val="34E0E0AA"/>
    <w:rsid w:val="350A3284"/>
    <w:rsid w:val="351690E2"/>
    <w:rsid w:val="3553063E"/>
    <w:rsid w:val="3554FB02"/>
    <w:rsid w:val="356B99FF"/>
    <w:rsid w:val="35714449"/>
    <w:rsid w:val="35854971"/>
    <w:rsid w:val="35858813"/>
    <w:rsid w:val="358A2664"/>
    <w:rsid w:val="35A79543"/>
    <w:rsid w:val="35E2C9A8"/>
    <w:rsid w:val="35EB1FBE"/>
    <w:rsid w:val="361D413C"/>
    <w:rsid w:val="36269663"/>
    <w:rsid w:val="363579AD"/>
    <w:rsid w:val="363FB7B8"/>
    <w:rsid w:val="364B60E9"/>
    <w:rsid w:val="364F48E5"/>
    <w:rsid w:val="36645EAE"/>
    <w:rsid w:val="3679BCD2"/>
    <w:rsid w:val="3684F8DA"/>
    <w:rsid w:val="36AF62A0"/>
    <w:rsid w:val="36B684E2"/>
    <w:rsid w:val="36C2F1C9"/>
    <w:rsid w:val="36DEC514"/>
    <w:rsid w:val="36E4D411"/>
    <w:rsid w:val="36EC770E"/>
    <w:rsid w:val="3704DF98"/>
    <w:rsid w:val="370C46A0"/>
    <w:rsid w:val="370DEB4A"/>
    <w:rsid w:val="371A3EA2"/>
    <w:rsid w:val="37361745"/>
    <w:rsid w:val="373BA5C3"/>
    <w:rsid w:val="37410BE9"/>
    <w:rsid w:val="375CEB51"/>
    <w:rsid w:val="375F587C"/>
    <w:rsid w:val="376DA048"/>
    <w:rsid w:val="376F69A5"/>
    <w:rsid w:val="3770BA91"/>
    <w:rsid w:val="37979940"/>
    <w:rsid w:val="379E70C4"/>
    <w:rsid w:val="37AE9CE4"/>
    <w:rsid w:val="37B59738"/>
    <w:rsid w:val="37BAFDDF"/>
    <w:rsid w:val="37C4FC56"/>
    <w:rsid w:val="37CE3A76"/>
    <w:rsid w:val="37DFB0B1"/>
    <w:rsid w:val="37FD155D"/>
    <w:rsid w:val="3809A685"/>
    <w:rsid w:val="38266B24"/>
    <w:rsid w:val="3828263E"/>
    <w:rsid w:val="38400759"/>
    <w:rsid w:val="384B3301"/>
    <w:rsid w:val="384B45A6"/>
    <w:rsid w:val="387E7DD0"/>
    <w:rsid w:val="387F2752"/>
    <w:rsid w:val="38C8FE01"/>
    <w:rsid w:val="38D83653"/>
    <w:rsid w:val="38D9148A"/>
    <w:rsid w:val="38E25675"/>
    <w:rsid w:val="38E6256D"/>
    <w:rsid w:val="3921F9EB"/>
    <w:rsid w:val="3935B49E"/>
    <w:rsid w:val="395CA034"/>
    <w:rsid w:val="3975B3B8"/>
    <w:rsid w:val="3975E0C9"/>
    <w:rsid w:val="398BC15F"/>
    <w:rsid w:val="39904F54"/>
    <w:rsid w:val="399FE9C4"/>
    <w:rsid w:val="39A23A0C"/>
    <w:rsid w:val="39A73B3C"/>
    <w:rsid w:val="39ADEF85"/>
    <w:rsid w:val="39B5CFAB"/>
    <w:rsid w:val="39BB6B8D"/>
    <w:rsid w:val="39C03364"/>
    <w:rsid w:val="39F3D2EC"/>
    <w:rsid w:val="39FD667E"/>
    <w:rsid w:val="3A0C34ED"/>
    <w:rsid w:val="3A217859"/>
    <w:rsid w:val="3A4464D2"/>
    <w:rsid w:val="3A55929A"/>
    <w:rsid w:val="3A75D6CD"/>
    <w:rsid w:val="3A93ECE2"/>
    <w:rsid w:val="3AC36C53"/>
    <w:rsid w:val="3AD6A8E4"/>
    <w:rsid w:val="3AFEB8CA"/>
    <w:rsid w:val="3B0A82D8"/>
    <w:rsid w:val="3B3855EE"/>
    <w:rsid w:val="3B5F63D8"/>
    <w:rsid w:val="3B7CE26E"/>
    <w:rsid w:val="3B934AF2"/>
    <w:rsid w:val="3B940E81"/>
    <w:rsid w:val="3BA7AA49"/>
    <w:rsid w:val="3BAB5015"/>
    <w:rsid w:val="3BB65729"/>
    <w:rsid w:val="3BCB5C63"/>
    <w:rsid w:val="3BCBDA34"/>
    <w:rsid w:val="3BD207F2"/>
    <w:rsid w:val="3BDE0A24"/>
    <w:rsid w:val="3BE8BF34"/>
    <w:rsid w:val="3BF65845"/>
    <w:rsid w:val="3C07EDC0"/>
    <w:rsid w:val="3C1EE81E"/>
    <w:rsid w:val="3C3C10A6"/>
    <w:rsid w:val="3C7248A5"/>
    <w:rsid w:val="3C7504F8"/>
    <w:rsid w:val="3CA65339"/>
    <w:rsid w:val="3CAE32ED"/>
    <w:rsid w:val="3CB63C9F"/>
    <w:rsid w:val="3CDB5A2D"/>
    <w:rsid w:val="3CDF96D1"/>
    <w:rsid w:val="3CEED6CC"/>
    <w:rsid w:val="3CF59F86"/>
    <w:rsid w:val="3D14A5C0"/>
    <w:rsid w:val="3D15493E"/>
    <w:rsid w:val="3D1EA424"/>
    <w:rsid w:val="3D273FBE"/>
    <w:rsid w:val="3D297B0A"/>
    <w:rsid w:val="3D2ABFEC"/>
    <w:rsid w:val="3D437AAA"/>
    <w:rsid w:val="3D564BD8"/>
    <w:rsid w:val="3D661F53"/>
    <w:rsid w:val="3D6A1A7C"/>
    <w:rsid w:val="3D70B4E7"/>
    <w:rsid w:val="3D994237"/>
    <w:rsid w:val="3DBD58C5"/>
    <w:rsid w:val="3DCB7464"/>
    <w:rsid w:val="3DD05DAE"/>
    <w:rsid w:val="3DDACD3E"/>
    <w:rsid w:val="3DF5BF52"/>
    <w:rsid w:val="3E054C4A"/>
    <w:rsid w:val="3E15596D"/>
    <w:rsid w:val="3E187FEB"/>
    <w:rsid w:val="3E1F140C"/>
    <w:rsid w:val="3E263F5B"/>
    <w:rsid w:val="3E3AD1C5"/>
    <w:rsid w:val="3E471271"/>
    <w:rsid w:val="3E5EFF60"/>
    <w:rsid w:val="3E623ED5"/>
    <w:rsid w:val="3E67E559"/>
    <w:rsid w:val="3E6836E6"/>
    <w:rsid w:val="3E698059"/>
    <w:rsid w:val="3E7EF20C"/>
    <w:rsid w:val="3E804BE8"/>
    <w:rsid w:val="3E895431"/>
    <w:rsid w:val="3E9EF4D1"/>
    <w:rsid w:val="3EA219A3"/>
    <w:rsid w:val="3EB3B978"/>
    <w:rsid w:val="3EB6AFFE"/>
    <w:rsid w:val="3EB7AF44"/>
    <w:rsid w:val="3EC323E6"/>
    <w:rsid w:val="3ED9666E"/>
    <w:rsid w:val="3EF06B9F"/>
    <w:rsid w:val="3EF4FB2E"/>
    <w:rsid w:val="3F05EADD"/>
    <w:rsid w:val="3F08E7D0"/>
    <w:rsid w:val="3F21B271"/>
    <w:rsid w:val="3F4756A7"/>
    <w:rsid w:val="3F49CC0C"/>
    <w:rsid w:val="3F634D3A"/>
    <w:rsid w:val="3F731148"/>
    <w:rsid w:val="3F731EDA"/>
    <w:rsid w:val="3F7A7D1B"/>
    <w:rsid w:val="3F941042"/>
    <w:rsid w:val="3F977B78"/>
    <w:rsid w:val="3FA60128"/>
    <w:rsid w:val="3FA71288"/>
    <w:rsid w:val="3FA9E967"/>
    <w:rsid w:val="3FC8F823"/>
    <w:rsid w:val="3FC9492A"/>
    <w:rsid w:val="3FFB4BCB"/>
    <w:rsid w:val="40057F35"/>
    <w:rsid w:val="401487A4"/>
    <w:rsid w:val="40566A08"/>
    <w:rsid w:val="4061F979"/>
    <w:rsid w:val="4090B9DD"/>
    <w:rsid w:val="40B40FFF"/>
    <w:rsid w:val="40C4B35E"/>
    <w:rsid w:val="40E23DD3"/>
    <w:rsid w:val="4101F8B4"/>
    <w:rsid w:val="410D90E0"/>
    <w:rsid w:val="410EEF3B"/>
    <w:rsid w:val="4113E373"/>
    <w:rsid w:val="41217995"/>
    <w:rsid w:val="413592A1"/>
    <w:rsid w:val="4145AFF0"/>
    <w:rsid w:val="41552A6E"/>
    <w:rsid w:val="41635E46"/>
    <w:rsid w:val="4178DEC7"/>
    <w:rsid w:val="417C22F0"/>
    <w:rsid w:val="417FDC30"/>
    <w:rsid w:val="419562D5"/>
    <w:rsid w:val="41959619"/>
    <w:rsid w:val="419C70FB"/>
    <w:rsid w:val="419D32A0"/>
    <w:rsid w:val="41C797CB"/>
    <w:rsid w:val="41D028F3"/>
    <w:rsid w:val="41E59D42"/>
    <w:rsid w:val="41EAD954"/>
    <w:rsid w:val="41F6814E"/>
    <w:rsid w:val="421E97F7"/>
    <w:rsid w:val="4237EA4B"/>
    <w:rsid w:val="423DE7B7"/>
    <w:rsid w:val="4245E934"/>
    <w:rsid w:val="424C4AFA"/>
    <w:rsid w:val="425627E5"/>
    <w:rsid w:val="4275FAB1"/>
    <w:rsid w:val="427E586A"/>
    <w:rsid w:val="428C282C"/>
    <w:rsid w:val="429029D3"/>
    <w:rsid w:val="429EBC18"/>
    <w:rsid w:val="42A3E850"/>
    <w:rsid w:val="42B72530"/>
    <w:rsid w:val="42C391C7"/>
    <w:rsid w:val="42E5DA8C"/>
    <w:rsid w:val="42E8AC6E"/>
    <w:rsid w:val="430F08F8"/>
    <w:rsid w:val="4312403E"/>
    <w:rsid w:val="431AB041"/>
    <w:rsid w:val="4321B315"/>
    <w:rsid w:val="433AE507"/>
    <w:rsid w:val="434B07A6"/>
    <w:rsid w:val="436B09BD"/>
    <w:rsid w:val="436DC4D1"/>
    <w:rsid w:val="436E7204"/>
    <w:rsid w:val="43822F0E"/>
    <w:rsid w:val="43A19488"/>
    <w:rsid w:val="43A5DF3F"/>
    <w:rsid w:val="43CDB615"/>
    <w:rsid w:val="43D4A220"/>
    <w:rsid w:val="43DD651A"/>
    <w:rsid w:val="43DDDF89"/>
    <w:rsid w:val="43E2F22B"/>
    <w:rsid w:val="43EBBB59"/>
    <w:rsid w:val="4404F876"/>
    <w:rsid w:val="44115835"/>
    <w:rsid w:val="44334EF3"/>
    <w:rsid w:val="4435DC22"/>
    <w:rsid w:val="443DF341"/>
    <w:rsid w:val="44468FFD"/>
    <w:rsid w:val="44486928"/>
    <w:rsid w:val="444D47BC"/>
    <w:rsid w:val="44572B1F"/>
    <w:rsid w:val="446B6A2D"/>
    <w:rsid w:val="44847CCF"/>
    <w:rsid w:val="44905F0F"/>
    <w:rsid w:val="44A732A0"/>
    <w:rsid w:val="44B5E27A"/>
    <w:rsid w:val="44C36A91"/>
    <w:rsid w:val="44CDF6FB"/>
    <w:rsid w:val="44D18059"/>
    <w:rsid w:val="44D8EB42"/>
    <w:rsid w:val="44E98A11"/>
    <w:rsid w:val="44F213DA"/>
    <w:rsid w:val="450C018A"/>
    <w:rsid w:val="45259F29"/>
    <w:rsid w:val="4529CA9C"/>
    <w:rsid w:val="452C6E29"/>
    <w:rsid w:val="452F7F95"/>
    <w:rsid w:val="453B0044"/>
    <w:rsid w:val="45401925"/>
    <w:rsid w:val="4547A485"/>
    <w:rsid w:val="454AC768"/>
    <w:rsid w:val="455BFE19"/>
    <w:rsid w:val="4571A312"/>
    <w:rsid w:val="458A035C"/>
    <w:rsid w:val="45A39963"/>
    <w:rsid w:val="45CBC3F6"/>
    <w:rsid w:val="45E18D95"/>
    <w:rsid w:val="45E3B56A"/>
    <w:rsid w:val="45EA5E30"/>
    <w:rsid w:val="45EFA991"/>
    <w:rsid w:val="46007033"/>
    <w:rsid w:val="4604C354"/>
    <w:rsid w:val="4608D1EE"/>
    <w:rsid w:val="4616EE9A"/>
    <w:rsid w:val="461763D2"/>
    <w:rsid w:val="46415E55"/>
    <w:rsid w:val="4641DA8C"/>
    <w:rsid w:val="46430301"/>
    <w:rsid w:val="464E2DB9"/>
    <w:rsid w:val="465D5C64"/>
    <w:rsid w:val="466E1865"/>
    <w:rsid w:val="4676B83F"/>
    <w:rsid w:val="467ADA6C"/>
    <w:rsid w:val="469BCD54"/>
    <w:rsid w:val="469CEEE4"/>
    <w:rsid w:val="46AA856B"/>
    <w:rsid w:val="46AE38DC"/>
    <w:rsid w:val="46C2EF14"/>
    <w:rsid w:val="46CCC304"/>
    <w:rsid w:val="46E786F8"/>
    <w:rsid w:val="46EC2F14"/>
    <w:rsid w:val="46ED4997"/>
    <w:rsid w:val="46FCD664"/>
    <w:rsid w:val="46FDAFA5"/>
    <w:rsid w:val="47055923"/>
    <w:rsid w:val="470C11D6"/>
    <w:rsid w:val="4723AD94"/>
    <w:rsid w:val="4759B713"/>
    <w:rsid w:val="47656427"/>
    <w:rsid w:val="47752495"/>
    <w:rsid w:val="477E30BF"/>
    <w:rsid w:val="47A080A7"/>
    <w:rsid w:val="47F28A22"/>
    <w:rsid w:val="481195B9"/>
    <w:rsid w:val="48184113"/>
    <w:rsid w:val="482D37D6"/>
    <w:rsid w:val="482EE54C"/>
    <w:rsid w:val="4839DD86"/>
    <w:rsid w:val="483DA237"/>
    <w:rsid w:val="48408C3C"/>
    <w:rsid w:val="485E918A"/>
    <w:rsid w:val="486013DD"/>
    <w:rsid w:val="4865E6F9"/>
    <w:rsid w:val="486C998F"/>
    <w:rsid w:val="48914A3F"/>
    <w:rsid w:val="48938FED"/>
    <w:rsid w:val="48990029"/>
    <w:rsid w:val="489E196B"/>
    <w:rsid w:val="489F319B"/>
    <w:rsid w:val="48C32B1F"/>
    <w:rsid w:val="48EA3EEC"/>
    <w:rsid w:val="48F7EC54"/>
    <w:rsid w:val="48FF90B3"/>
    <w:rsid w:val="49084944"/>
    <w:rsid w:val="490A82C6"/>
    <w:rsid w:val="491B2D33"/>
    <w:rsid w:val="491C830B"/>
    <w:rsid w:val="491F94CA"/>
    <w:rsid w:val="493773BE"/>
    <w:rsid w:val="4937A350"/>
    <w:rsid w:val="49578961"/>
    <w:rsid w:val="49816BA2"/>
    <w:rsid w:val="4984EA0D"/>
    <w:rsid w:val="498E5A83"/>
    <w:rsid w:val="499D484F"/>
    <w:rsid w:val="49B8015F"/>
    <w:rsid w:val="49BD79ED"/>
    <w:rsid w:val="49F8C3BF"/>
    <w:rsid w:val="4A131ED8"/>
    <w:rsid w:val="4A153F86"/>
    <w:rsid w:val="4A1A8BF6"/>
    <w:rsid w:val="4A2A9EB7"/>
    <w:rsid w:val="4A309525"/>
    <w:rsid w:val="4A37635D"/>
    <w:rsid w:val="4A538266"/>
    <w:rsid w:val="4A5C514A"/>
    <w:rsid w:val="4A6CCDC4"/>
    <w:rsid w:val="4A74152E"/>
    <w:rsid w:val="4A9FBD98"/>
    <w:rsid w:val="4AB3DD30"/>
    <w:rsid w:val="4AC66CA3"/>
    <w:rsid w:val="4AC70114"/>
    <w:rsid w:val="4AEC3634"/>
    <w:rsid w:val="4AEE24DE"/>
    <w:rsid w:val="4B1134BE"/>
    <w:rsid w:val="4B1AAE68"/>
    <w:rsid w:val="4B3972BF"/>
    <w:rsid w:val="4B3974F0"/>
    <w:rsid w:val="4B39FE81"/>
    <w:rsid w:val="4B5001D8"/>
    <w:rsid w:val="4B53D1C0"/>
    <w:rsid w:val="4B5D0677"/>
    <w:rsid w:val="4B77C27C"/>
    <w:rsid w:val="4B922DB5"/>
    <w:rsid w:val="4B9C4891"/>
    <w:rsid w:val="4BADEC2D"/>
    <w:rsid w:val="4BAE88AC"/>
    <w:rsid w:val="4BB546A7"/>
    <w:rsid w:val="4BBE0280"/>
    <w:rsid w:val="4BCF0A5C"/>
    <w:rsid w:val="4BD5AF6E"/>
    <w:rsid w:val="4BE6A346"/>
    <w:rsid w:val="4BF34E35"/>
    <w:rsid w:val="4BFC3481"/>
    <w:rsid w:val="4BFD0A2B"/>
    <w:rsid w:val="4C001159"/>
    <w:rsid w:val="4C0DCD84"/>
    <w:rsid w:val="4C1F6239"/>
    <w:rsid w:val="4C3DEC55"/>
    <w:rsid w:val="4C529E9D"/>
    <w:rsid w:val="4C52F06A"/>
    <w:rsid w:val="4C57CE17"/>
    <w:rsid w:val="4C5E2E1E"/>
    <w:rsid w:val="4C7C3B93"/>
    <w:rsid w:val="4C905C49"/>
    <w:rsid w:val="4C9B1711"/>
    <w:rsid w:val="4CB90C64"/>
    <w:rsid w:val="4CF5B40A"/>
    <w:rsid w:val="4D146B59"/>
    <w:rsid w:val="4D1F3F06"/>
    <w:rsid w:val="4D2F527D"/>
    <w:rsid w:val="4D2F9A38"/>
    <w:rsid w:val="4D36A09D"/>
    <w:rsid w:val="4D438E67"/>
    <w:rsid w:val="4D45255E"/>
    <w:rsid w:val="4D47D41B"/>
    <w:rsid w:val="4D879643"/>
    <w:rsid w:val="4D95C8C0"/>
    <w:rsid w:val="4D9804E2"/>
    <w:rsid w:val="4DAA7177"/>
    <w:rsid w:val="4DB5A166"/>
    <w:rsid w:val="4DD9BCB6"/>
    <w:rsid w:val="4DDD0175"/>
    <w:rsid w:val="4DE03E64"/>
    <w:rsid w:val="4DEE1AE0"/>
    <w:rsid w:val="4E4BBDD6"/>
    <w:rsid w:val="4E56376C"/>
    <w:rsid w:val="4E647DE3"/>
    <w:rsid w:val="4E866092"/>
    <w:rsid w:val="4EB681C7"/>
    <w:rsid w:val="4ED29480"/>
    <w:rsid w:val="4EDBA770"/>
    <w:rsid w:val="4EDD8515"/>
    <w:rsid w:val="4EDDA0DF"/>
    <w:rsid w:val="4EECA677"/>
    <w:rsid w:val="4EF9E421"/>
    <w:rsid w:val="4EFBE511"/>
    <w:rsid w:val="4EFE0FDA"/>
    <w:rsid w:val="4EFF0806"/>
    <w:rsid w:val="4F0A4A17"/>
    <w:rsid w:val="4F0FFCE1"/>
    <w:rsid w:val="4F19C5FA"/>
    <w:rsid w:val="4F207988"/>
    <w:rsid w:val="4F29F16D"/>
    <w:rsid w:val="4F459C43"/>
    <w:rsid w:val="4F478651"/>
    <w:rsid w:val="4F4C6989"/>
    <w:rsid w:val="4F5171C7"/>
    <w:rsid w:val="4F5592B6"/>
    <w:rsid w:val="4F644C36"/>
    <w:rsid w:val="4F659F6E"/>
    <w:rsid w:val="4F81AAC0"/>
    <w:rsid w:val="4FB6E778"/>
    <w:rsid w:val="4FC19601"/>
    <w:rsid w:val="4FC23748"/>
    <w:rsid w:val="4FE17301"/>
    <w:rsid w:val="4FE23693"/>
    <w:rsid w:val="500D5C84"/>
    <w:rsid w:val="501605F8"/>
    <w:rsid w:val="5020A29B"/>
    <w:rsid w:val="502DAD46"/>
    <w:rsid w:val="502EFBDE"/>
    <w:rsid w:val="5032C9BA"/>
    <w:rsid w:val="50460F49"/>
    <w:rsid w:val="5075888B"/>
    <w:rsid w:val="507D0597"/>
    <w:rsid w:val="508B098C"/>
    <w:rsid w:val="50A2AE30"/>
    <w:rsid w:val="50A909AC"/>
    <w:rsid w:val="50C41BA1"/>
    <w:rsid w:val="50C885D4"/>
    <w:rsid w:val="50D52DD9"/>
    <w:rsid w:val="50FCAFAC"/>
    <w:rsid w:val="510E767F"/>
    <w:rsid w:val="5127C05C"/>
    <w:rsid w:val="513CD8F7"/>
    <w:rsid w:val="514111F1"/>
    <w:rsid w:val="5151A553"/>
    <w:rsid w:val="51548C70"/>
    <w:rsid w:val="515E07A9"/>
    <w:rsid w:val="515E71A8"/>
    <w:rsid w:val="515E8C60"/>
    <w:rsid w:val="516325DC"/>
    <w:rsid w:val="5163E948"/>
    <w:rsid w:val="5165F52F"/>
    <w:rsid w:val="516AC75F"/>
    <w:rsid w:val="51767BFF"/>
    <w:rsid w:val="518DF978"/>
    <w:rsid w:val="51942E20"/>
    <w:rsid w:val="51A1B724"/>
    <w:rsid w:val="5210EC5F"/>
    <w:rsid w:val="5236A8C8"/>
    <w:rsid w:val="52508A29"/>
    <w:rsid w:val="52938992"/>
    <w:rsid w:val="52939924"/>
    <w:rsid w:val="52B5C565"/>
    <w:rsid w:val="52D17E88"/>
    <w:rsid w:val="52E2D3A7"/>
    <w:rsid w:val="52EBE0B6"/>
    <w:rsid w:val="5316211A"/>
    <w:rsid w:val="532BEDCA"/>
    <w:rsid w:val="53401456"/>
    <w:rsid w:val="53543A26"/>
    <w:rsid w:val="5358ECFA"/>
    <w:rsid w:val="538A1D3D"/>
    <w:rsid w:val="5392D4E3"/>
    <w:rsid w:val="5392E79A"/>
    <w:rsid w:val="53AD807F"/>
    <w:rsid w:val="53BFC473"/>
    <w:rsid w:val="53D12883"/>
    <w:rsid w:val="53F42589"/>
    <w:rsid w:val="54220A85"/>
    <w:rsid w:val="54281BE3"/>
    <w:rsid w:val="542AF8C3"/>
    <w:rsid w:val="542BD018"/>
    <w:rsid w:val="5437ED88"/>
    <w:rsid w:val="5451AF58"/>
    <w:rsid w:val="545DB082"/>
    <w:rsid w:val="54925002"/>
    <w:rsid w:val="54A03796"/>
    <w:rsid w:val="54AB55C3"/>
    <w:rsid w:val="54AEC228"/>
    <w:rsid w:val="54B637CE"/>
    <w:rsid w:val="54B91214"/>
    <w:rsid w:val="54C02F89"/>
    <w:rsid w:val="54C1D882"/>
    <w:rsid w:val="550AE72B"/>
    <w:rsid w:val="551C80B5"/>
    <w:rsid w:val="551EC1A0"/>
    <w:rsid w:val="5521D677"/>
    <w:rsid w:val="552D079F"/>
    <w:rsid w:val="5557266B"/>
    <w:rsid w:val="55690B2D"/>
    <w:rsid w:val="556C7CCB"/>
    <w:rsid w:val="556E12B2"/>
    <w:rsid w:val="5581CB4C"/>
    <w:rsid w:val="5584C939"/>
    <w:rsid w:val="5592B19A"/>
    <w:rsid w:val="55970501"/>
    <w:rsid w:val="55ED639F"/>
    <w:rsid w:val="55F99A62"/>
    <w:rsid w:val="56193AC8"/>
    <w:rsid w:val="561AF6AF"/>
    <w:rsid w:val="561B059D"/>
    <w:rsid w:val="56310570"/>
    <w:rsid w:val="56341DD9"/>
    <w:rsid w:val="56396652"/>
    <w:rsid w:val="5652E604"/>
    <w:rsid w:val="566C6823"/>
    <w:rsid w:val="5675AACA"/>
    <w:rsid w:val="567C46C8"/>
    <w:rsid w:val="56AE8BD0"/>
    <w:rsid w:val="56B90207"/>
    <w:rsid w:val="56BA1319"/>
    <w:rsid w:val="56BBFBFB"/>
    <w:rsid w:val="56CC4772"/>
    <w:rsid w:val="56D0ABAB"/>
    <w:rsid w:val="5716F128"/>
    <w:rsid w:val="5733FA26"/>
    <w:rsid w:val="573C6531"/>
    <w:rsid w:val="5750DA5A"/>
    <w:rsid w:val="575FBCA5"/>
    <w:rsid w:val="57748CC9"/>
    <w:rsid w:val="578005F2"/>
    <w:rsid w:val="5784AA81"/>
    <w:rsid w:val="57A2A1B0"/>
    <w:rsid w:val="57A794C3"/>
    <w:rsid w:val="57B1FD90"/>
    <w:rsid w:val="57B32D31"/>
    <w:rsid w:val="57B99037"/>
    <w:rsid w:val="57BA14DF"/>
    <w:rsid w:val="57DDCD42"/>
    <w:rsid w:val="57DEDC1E"/>
    <w:rsid w:val="57FEA454"/>
    <w:rsid w:val="5807252A"/>
    <w:rsid w:val="58133BE3"/>
    <w:rsid w:val="581684FE"/>
    <w:rsid w:val="581DCBCC"/>
    <w:rsid w:val="58219857"/>
    <w:rsid w:val="5859EECB"/>
    <w:rsid w:val="585DF249"/>
    <w:rsid w:val="58B9EEC4"/>
    <w:rsid w:val="58D83592"/>
    <w:rsid w:val="58E5EBD4"/>
    <w:rsid w:val="58EC6C3C"/>
    <w:rsid w:val="58F0722F"/>
    <w:rsid w:val="590BAB3E"/>
    <w:rsid w:val="5916359A"/>
    <w:rsid w:val="591BD653"/>
    <w:rsid w:val="5921FA65"/>
    <w:rsid w:val="592349C4"/>
    <w:rsid w:val="59319F11"/>
    <w:rsid w:val="593DE1A9"/>
    <w:rsid w:val="594D33FB"/>
    <w:rsid w:val="5958A0F0"/>
    <w:rsid w:val="59687847"/>
    <w:rsid w:val="5968A632"/>
    <w:rsid w:val="5969FB59"/>
    <w:rsid w:val="597E2899"/>
    <w:rsid w:val="5982089F"/>
    <w:rsid w:val="5997CEF0"/>
    <w:rsid w:val="59B0A0B6"/>
    <w:rsid w:val="59E645D4"/>
    <w:rsid w:val="59F22CD9"/>
    <w:rsid w:val="5A1BFE44"/>
    <w:rsid w:val="5A1DA7DD"/>
    <w:rsid w:val="5A2921CC"/>
    <w:rsid w:val="5A54DC3F"/>
    <w:rsid w:val="5A63BD93"/>
    <w:rsid w:val="5A6A7624"/>
    <w:rsid w:val="5A70F90D"/>
    <w:rsid w:val="5A72FC45"/>
    <w:rsid w:val="5A99CBA5"/>
    <w:rsid w:val="5AAE1843"/>
    <w:rsid w:val="5AC5DFD5"/>
    <w:rsid w:val="5AD05E10"/>
    <w:rsid w:val="5AD26CB7"/>
    <w:rsid w:val="5AD85CA4"/>
    <w:rsid w:val="5ADB466C"/>
    <w:rsid w:val="5AE8E34A"/>
    <w:rsid w:val="5B1A163D"/>
    <w:rsid w:val="5B22FB4B"/>
    <w:rsid w:val="5B236434"/>
    <w:rsid w:val="5B441F62"/>
    <w:rsid w:val="5B48B228"/>
    <w:rsid w:val="5B4EE10D"/>
    <w:rsid w:val="5B60D391"/>
    <w:rsid w:val="5B7645D1"/>
    <w:rsid w:val="5B7A5FBA"/>
    <w:rsid w:val="5B7C9708"/>
    <w:rsid w:val="5B7D767A"/>
    <w:rsid w:val="5B87127D"/>
    <w:rsid w:val="5BA14702"/>
    <w:rsid w:val="5BAB8419"/>
    <w:rsid w:val="5BB2ACEF"/>
    <w:rsid w:val="5BB3DE29"/>
    <w:rsid w:val="5BB72B03"/>
    <w:rsid w:val="5BC41059"/>
    <w:rsid w:val="5BE1377C"/>
    <w:rsid w:val="5BE67020"/>
    <w:rsid w:val="5BEF1D10"/>
    <w:rsid w:val="5C16609D"/>
    <w:rsid w:val="5C240CFE"/>
    <w:rsid w:val="5C31D3F5"/>
    <w:rsid w:val="5C67C999"/>
    <w:rsid w:val="5C6AE8BA"/>
    <w:rsid w:val="5C755062"/>
    <w:rsid w:val="5C79679B"/>
    <w:rsid w:val="5C7FD915"/>
    <w:rsid w:val="5CABF866"/>
    <w:rsid w:val="5CB1CDE4"/>
    <w:rsid w:val="5CC0D503"/>
    <w:rsid w:val="5CC9368C"/>
    <w:rsid w:val="5CD7EDBD"/>
    <w:rsid w:val="5CDFEFC3"/>
    <w:rsid w:val="5CE491AB"/>
    <w:rsid w:val="5CF928DD"/>
    <w:rsid w:val="5D00877D"/>
    <w:rsid w:val="5D0B8AB5"/>
    <w:rsid w:val="5D14BF7F"/>
    <w:rsid w:val="5D27206E"/>
    <w:rsid w:val="5D29CD9B"/>
    <w:rsid w:val="5D33BF8C"/>
    <w:rsid w:val="5D444128"/>
    <w:rsid w:val="5D4AD7AB"/>
    <w:rsid w:val="5D506DA6"/>
    <w:rsid w:val="5D540D10"/>
    <w:rsid w:val="5D663391"/>
    <w:rsid w:val="5D8B6F1A"/>
    <w:rsid w:val="5DA2C98A"/>
    <w:rsid w:val="5DC4CAB5"/>
    <w:rsid w:val="5DCD5536"/>
    <w:rsid w:val="5DD5F113"/>
    <w:rsid w:val="5DE5F444"/>
    <w:rsid w:val="5DE77993"/>
    <w:rsid w:val="5E06BD3B"/>
    <w:rsid w:val="5E0A46B3"/>
    <w:rsid w:val="5E2E35AF"/>
    <w:rsid w:val="5E461273"/>
    <w:rsid w:val="5E4F7FAE"/>
    <w:rsid w:val="5E52FDD9"/>
    <w:rsid w:val="5E57BFF2"/>
    <w:rsid w:val="5E600CF7"/>
    <w:rsid w:val="5E6157C4"/>
    <w:rsid w:val="5E69337C"/>
    <w:rsid w:val="5E6AFDC1"/>
    <w:rsid w:val="5E6CE85C"/>
    <w:rsid w:val="5E76AC05"/>
    <w:rsid w:val="5E7A4739"/>
    <w:rsid w:val="5E7E2899"/>
    <w:rsid w:val="5E87CC0D"/>
    <w:rsid w:val="5E8F7E35"/>
    <w:rsid w:val="5E90AEDA"/>
    <w:rsid w:val="5E924FC0"/>
    <w:rsid w:val="5EA36B9D"/>
    <w:rsid w:val="5EA5F789"/>
    <w:rsid w:val="5EB1C971"/>
    <w:rsid w:val="5EB3A052"/>
    <w:rsid w:val="5EB81527"/>
    <w:rsid w:val="5EB9B6F7"/>
    <w:rsid w:val="5EBC6B8A"/>
    <w:rsid w:val="5ECF0159"/>
    <w:rsid w:val="5EEBE45E"/>
    <w:rsid w:val="5EEC5EF9"/>
    <w:rsid w:val="5EF3B704"/>
    <w:rsid w:val="5F0203F2"/>
    <w:rsid w:val="5F170CC3"/>
    <w:rsid w:val="5F26A8D8"/>
    <w:rsid w:val="5F2A7CB7"/>
    <w:rsid w:val="5F329FAE"/>
    <w:rsid w:val="5F3D3358"/>
    <w:rsid w:val="5F4D8320"/>
    <w:rsid w:val="5F51C475"/>
    <w:rsid w:val="5F57A329"/>
    <w:rsid w:val="5F86F0E3"/>
    <w:rsid w:val="5F9BD665"/>
    <w:rsid w:val="5FAE8629"/>
    <w:rsid w:val="5FBD3FCF"/>
    <w:rsid w:val="5FC83B85"/>
    <w:rsid w:val="6025A9AA"/>
    <w:rsid w:val="6026F09F"/>
    <w:rsid w:val="60476736"/>
    <w:rsid w:val="6068DA0D"/>
    <w:rsid w:val="606CAFBE"/>
    <w:rsid w:val="607EF53C"/>
    <w:rsid w:val="609DD453"/>
    <w:rsid w:val="60D0B061"/>
    <w:rsid w:val="60EA052F"/>
    <w:rsid w:val="61016802"/>
    <w:rsid w:val="6112EF53"/>
    <w:rsid w:val="6122592A"/>
    <w:rsid w:val="613B4557"/>
    <w:rsid w:val="61555537"/>
    <w:rsid w:val="6168F2D8"/>
    <w:rsid w:val="617BAE53"/>
    <w:rsid w:val="618A9E9B"/>
    <w:rsid w:val="619491BB"/>
    <w:rsid w:val="619C1BB3"/>
    <w:rsid w:val="61C06404"/>
    <w:rsid w:val="61D72CDF"/>
    <w:rsid w:val="61EB4114"/>
    <w:rsid w:val="62542EA3"/>
    <w:rsid w:val="625E1D3C"/>
    <w:rsid w:val="628CF930"/>
    <w:rsid w:val="62900E02"/>
    <w:rsid w:val="629D05F9"/>
    <w:rsid w:val="62C025D8"/>
    <w:rsid w:val="62D542DC"/>
    <w:rsid w:val="62EB83A7"/>
    <w:rsid w:val="62F7A3A1"/>
    <w:rsid w:val="62FC96E6"/>
    <w:rsid w:val="63080739"/>
    <w:rsid w:val="63265A08"/>
    <w:rsid w:val="6328EAE5"/>
    <w:rsid w:val="6343770D"/>
    <w:rsid w:val="639A05AC"/>
    <w:rsid w:val="639CD023"/>
    <w:rsid w:val="63A330F7"/>
    <w:rsid w:val="63B8309F"/>
    <w:rsid w:val="63C7471F"/>
    <w:rsid w:val="63D8E55F"/>
    <w:rsid w:val="63E3675C"/>
    <w:rsid w:val="63E78043"/>
    <w:rsid w:val="6410A47B"/>
    <w:rsid w:val="64452872"/>
    <w:rsid w:val="644573CB"/>
    <w:rsid w:val="64601FFB"/>
    <w:rsid w:val="64653A81"/>
    <w:rsid w:val="647B9F75"/>
    <w:rsid w:val="647F3EEA"/>
    <w:rsid w:val="64832B71"/>
    <w:rsid w:val="64AAD789"/>
    <w:rsid w:val="64ADDD83"/>
    <w:rsid w:val="64B3497E"/>
    <w:rsid w:val="64B736B0"/>
    <w:rsid w:val="64B96032"/>
    <w:rsid w:val="64BB3874"/>
    <w:rsid w:val="64BEDD24"/>
    <w:rsid w:val="64C33789"/>
    <w:rsid w:val="64C6EDDB"/>
    <w:rsid w:val="64CB6615"/>
    <w:rsid w:val="64DAF094"/>
    <w:rsid w:val="64F1E8F7"/>
    <w:rsid w:val="64F7EAEB"/>
    <w:rsid w:val="652451D1"/>
    <w:rsid w:val="655ABB5A"/>
    <w:rsid w:val="6565ACAA"/>
    <w:rsid w:val="656ECEE3"/>
    <w:rsid w:val="657A95C7"/>
    <w:rsid w:val="6599767E"/>
    <w:rsid w:val="659E304D"/>
    <w:rsid w:val="65CC4668"/>
    <w:rsid w:val="65E8ED51"/>
    <w:rsid w:val="65EC6146"/>
    <w:rsid w:val="6601111D"/>
    <w:rsid w:val="6604D6E6"/>
    <w:rsid w:val="6611A657"/>
    <w:rsid w:val="661BB2C9"/>
    <w:rsid w:val="663913F7"/>
    <w:rsid w:val="6640A237"/>
    <w:rsid w:val="66462952"/>
    <w:rsid w:val="6677E926"/>
    <w:rsid w:val="667DBFB3"/>
    <w:rsid w:val="668D8703"/>
    <w:rsid w:val="668DE28B"/>
    <w:rsid w:val="66B50D30"/>
    <w:rsid w:val="66BEB237"/>
    <w:rsid w:val="66C77D6F"/>
    <w:rsid w:val="66E2A485"/>
    <w:rsid w:val="66F9DDAA"/>
    <w:rsid w:val="67093E08"/>
    <w:rsid w:val="6732E5F4"/>
    <w:rsid w:val="673849DA"/>
    <w:rsid w:val="674C3B8C"/>
    <w:rsid w:val="675DBC7E"/>
    <w:rsid w:val="67648383"/>
    <w:rsid w:val="677A94FC"/>
    <w:rsid w:val="67A44261"/>
    <w:rsid w:val="67A85231"/>
    <w:rsid w:val="67D05298"/>
    <w:rsid w:val="67D75E0F"/>
    <w:rsid w:val="67EEAFFE"/>
    <w:rsid w:val="681D35F2"/>
    <w:rsid w:val="681F405B"/>
    <w:rsid w:val="68307DBB"/>
    <w:rsid w:val="6836D412"/>
    <w:rsid w:val="683EEA0F"/>
    <w:rsid w:val="6864258E"/>
    <w:rsid w:val="687027F4"/>
    <w:rsid w:val="68784CA8"/>
    <w:rsid w:val="68925C1C"/>
    <w:rsid w:val="68A7DE11"/>
    <w:rsid w:val="68C24554"/>
    <w:rsid w:val="68CC44C1"/>
    <w:rsid w:val="68DA8AB2"/>
    <w:rsid w:val="68E88EAB"/>
    <w:rsid w:val="68F463D4"/>
    <w:rsid w:val="68F969ED"/>
    <w:rsid w:val="69039C5D"/>
    <w:rsid w:val="6903A1E4"/>
    <w:rsid w:val="69085A18"/>
    <w:rsid w:val="691BDA5E"/>
    <w:rsid w:val="692E1EAA"/>
    <w:rsid w:val="693C422B"/>
    <w:rsid w:val="694C3226"/>
    <w:rsid w:val="6953454F"/>
    <w:rsid w:val="697DC487"/>
    <w:rsid w:val="69868997"/>
    <w:rsid w:val="6997466E"/>
    <w:rsid w:val="6997CC53"/>
    <w:rsid w:val="699F88EF"/>
    <w:rsid w:val="69A5A21A"/>
    <w:rsid w:val="69BF1725"/>
    <w:rsid w:val="69C61327"/>
    <w:rsid w:val="69EACA57"/>
    <w:rsid w:val="6A16678C"/>
    <w:rsid w:val="6A19C3D1"/>
    <w:rsid w:val="6A21E005"/>
    <w:rsid w:val="6A403C35"/>
    <w:rsid w:val="6A4F83E3"/>
    <w:rsid w:val="6A50E664"/>
    <w:rsid w:val="6A860805"/>
    <w:rsid w:val="6AABDD21"/>
    <w:rsid w:val="6AB854F6"/>
    <w:rsid w:val="6AE05222"/>
    <w:rsid w:val="6AF2E124"/>
    <w:rsid w:val="6AFBCB58"/>
    <w:rsid w:val="6B17E5A5"/>
    <w:rsid w:val="6B187B1A"/>
    <w:rsid w:val="6B229798"/>
    <w:rsid w:val="6B396572"/>
    <w:rsid w:val="6B585CF6"/>
    <w:rsid w:val="6B70D03E"/>
    <w:rsid w:val="6B7DECB0"/>
    <w:rsid w:val="6B84395E"/>
    <w:rsid w:val="6B9839FF"/>
    <w:rsid w:val="6BB42BBB"/>
    <w:rsid w:val="6BB50103"/>
    <w:rsid w:val="6BB7B5D0"/>
    <w:rsid w:val="6BBD59B9"/>
    <w:rsid w:val="6BBF6117"/>
    <w:rsid w:val="6BD85923"/>
    <w:rsid w:val="6BDC20D9"/>
    <w:rsid w:val="6BF50260"/>
    <w:rsid w:val="6BF6F439"/>
    <w:rsid w:val="6C0CE5BE"/>
    <w:rsid w:val="6C22C653"/>
    <w:rsid w:val="6C46613A"/>
    <w:rsid w:val="6C61840B"/>
    <w:rsid w:val="6C624BED"/>
    <w:rsid w:val="6C670724"/>
    <w:rsid w:val="6C710528"/>
    <w:rsid w:val="6C7DF7FE"/>
    <w:rsid w:val="6C99A06D"/>
    <w:rsid w:val="6C9DAC58"/>
    <w:rsid w:val="6CA3F3CF"/>
    <w:rsid w:val="6CCD5142"/>
    <w:rsid w:val="6CEBBB40"/>
    <w:rsid w:val="6D0B8BF9"/>
    <w:rsid w:val="6D1AAE1C"/>
    <w:rsid w:val="6D1AE203"/>
    <w:rsid w:val="6D1CA3AF"/>
    <w:rsid w:val="6D25E91D"/>
    <w:rsid w:val="6D399E31"/>
    <w:rsid w:val="6D43DB98"/>
    <w:rsid w:val="6D4603CA"/>
    <w:rsid w:val="6D599A46"/>
    <w:rsid w:val="6D76DE7A"/>
    <w:rsid w:val="6D77DCF7"/>
    <w:rsid w:val="6D7AFB3B"/>
    <w:rsid w:val="6D996636"/>
    <w:rsid w:val="6DA94EF8"/>
    <w:rsid w:val="6DB5034F"/>
    <w:rsid w:val="6DB93D40"/>
    <w:rsid w:val="6DC02836"/>
    <w:rsid w:val="6DEB61EE"/>
    <w:rsid w:val="6DEDF352"/>
    <w:rsid w:val="6E048A4B"/>
    <w:rsid w:val="6E16EA69"/>
    <w:rsid w:val="6E1FED49"/>
    <w:rsid w:val="6E21494B"/>
    <w:rsid w:val="6E4173A4"/>
    <w:rsid w:val="6E425DFD"/>
    <w:rsid w:val="6E4CBF2F"/>
    <w:rsid w:val="6E5E2B1E"/>
    <w:rsid w:val="6E6BDD2C"/>
    <w:rsid w:val="6E789969"/>
    <w:rsid w:val="6E893A6C"/>
    <w:rsid w:val="6E8BAE4F"/>
    <w:rsid w:val="6E93F577"/>
    <w:rsid w:val="6EBB736B"/>
    <w:rsid w:val="6EC1AB83"/>
    <w:rsid w:val="6EE0BED8"/>
    <w:rsid w:val="6EF463BE"/>
    <w:rsid w:val="6EF4FB36"/>
    <w:rsid w:val="6F57D02F"/>
    <w:rsid w:val="6F658866"/>
    <w:rsid w:val="6F7D1DD9"/>
    <w:rsid w:val="6F81454E"/>
    <w:rsid w:val="6FDF5ECA"/>
    <w:rsid w:val="6FE81760"/>
    <w:rsid w:val="6FEE687B"/>
    <w:rsid w:val="6FF4C26D"/>
    <w:rsid w:val="700DA716"/>
    <w:rsid w:val="701D347E"/>
    <w:rsid w:val="7020054A"/>
    <w:rsid w:val="70292743"/>
    <w:rsid w:val="702F4938"/>
    <w:rsid w:val="7039C424"/>
    <w:rsid w:val="7046044D"/>
    <w:rsid w:val="7046375C"/>
    <w:rsid w:val="706F3FFD"/>
    <w:rsid w:val="707037EB"/>
    <w:rsid w:val="708247B7"/>
    <w:rsid w:val="709C8C27"/>
    <w:rsid w:val="70AAD91C"/>
    <w:rsid w:val="70B4F422"/>
    <w:rsid w:val="70BCEC84"/>
    <w:rsid w:val="70E90F1A"/>
    <w:rsid w:val="71050048"/>
    <w:rsid w:val="71173633"/>
    <w:rsid w:val="71250314"/>
    <w:rsid w:val="71259414"/>
    <w:rsid w:val="712F6138"/>
    <w:rsid w:val="7150E73C"/>
    <w:rsid w:val="715120A8"/>
    <w:rsid w:val="71711102"/>
    <w:rsid w:val="7180B7AE"/>
    <w:rsid w:val="718437CF"/>
    <w:rsid w:val="71864BC4"/>
    <w:rsid w:val="7188DBF9"/>
    <w:rsid w:val="7199AA06"/>
    <w:rsid w:val="71A00EE6"/>
    <w:rsid w:val="71A97777"/>
    <w:rsid w:val="71AE91CE"/>
    <w:rsid w:val="71C366F1"/>
    <w:rsid w:val="71C45578"/>
    <w:rsid w:val="71C9815E"/>
    <w:rsid w:val="71D2A9DE"/>
    <w:rsid w:val="71D95F8A"/>
    <w:rsid w:val="71F22662"/>
    <w:rsid w:val="720F01D5"/>
    <w:rsid w:val="72138214"/>
    <w:rsid w:val="721D68EB"/>
    <w:rsid w:val="7221B217"/>
    <w:rsid w:val="72244287"/>
    <w:rsid w:val="72326590"/>
    <w:rsid w:val="7256A1D9"/>
    <w:rsid w:val="725D8A9D"/>
    <w:rsid w:val="7262BFBC"/>
    <w:rsid w:val="72630E6A"/>
    <w:rsid w:val="72689FE6"/>
    <w:rsid w:val="726A5753"/>
    <w:rsid w:val="727F307B"/>
    <w:rsid w:val="72A167F6"/>
    <w:rsid w:val="72C8306F"/>
    <w:rsid w:val="72CF78ED"/>
    <w:rsid w:val="72D0C737"/>
    <w:rsid w:val="72FDF309"/>
    <w:rsid w:val="730CE2DD"/>
    <w:rsid w:val="73293FE1"/>
    <w:rsid w:val="733BDF47"/>
    <w:rsid w:val="7366E9FA"/>
    <w:rsid w:val="73840CE2"/>
    <w:rsid w:val="7399F4BF"/>
    <w:rsid w:val="73AF99EE"/>
    <w:rsid w:val="73BBC562"/>
    <w:rsid w:val="73C5E153"/>
    <w:rsid w:val="73D0680B"/>
    <w:rsid w:val="73E9C2A3"/>
    <w:rsid w:val="73EEF600"/>
    <w:rsid w:val="73F3117F"/>
    <w:rsid w:val="73F797B9"/>
    <w:rsid w:val="7410CF4A"/>
    <w:rsid w:val="7416BD0A"/>
    <w:rsid w:val="7422E8EB"/>
    <w:rsid w:val="74392FAE"/>
    <w:rsid w:val="74407501"/>
    <w:rsid w:val="746191CE"/>
    <w:rsid w:val="7463A11E"/>
    <w:rsid w:val="746A845F"/>
    <w:rsid w:val="746D0562"/>
    <w:rsid w:val="74A69EC0"/>
    <w:rsid w:val="74CCA69B"/>
    <w:rsid w:val="74EB9C60"/>
    <w:rsid w:val="7503EAD5"/>
    <w:rsid w:val="751BDC4E"/>
    <w:rsid w:val="752E648E"/>
    <w:rsid w:val="7536ABDD"/>
    <w:rsid w:val="7546A297"/>
    <w:rsid w:val="7549BE5E"/>
    <w:rsid w:val="7585AE8A"/>
    <w:rsid w:val="75B1ED93"/>
    <w:rsid w:val="75B58A09"/>
    <w:rsid w:val="75E0873A"/>
    <w:rsid w:val="75E6B2FB"/>
    <w:rsid w:val="75EB1A6B"/>
    <w:rsid w:val="75EF572A"/>
    <w:rsid w:val="75F3CA85"/>
    <w:rsid w:val="75FD28EB"/>
    <w:rsid w:val="764135B9"/>
    <w:rsid w:val="76525364"/>
    <w:rsid w:val="765FE310"/>
    <w:rsid w:val="76844E29"/>
    <w:rsid w:val="768ABC78"/>
    <w:rsid w:val="769658C9"/>
    <w:rsid w:val="769CBF12"/>
    <w:rsid w:val="769F209F"/>
    <w:rsid w:val="76B64DB6"/>
    <w:rsid w:val="76DDD28D"/>
    <w:rsid w:val="76E01E97"/>
    <w:rsid w:val="770EB773"/>
    <w:rsid w:val="771EBF3D"/>
    <w:rsid w:val="775D50AA"/>
    <w:rsid w:val="77698962"/>
    <w:rsid w:val="777EB803"/>
    <w:rsid w:val="77821704"/>
    <w:rsid w:val="77884A44"/>
    <w:rsid w:val="778FC50B"/>
    <w:rsid w:val="779D6E74"/>
    <w:rsid w:val="779E2736"/>
    <w:rsid w:val="77A22315"/>
    <w:rsid w:val="77A9AA62"/>
    <w:rsid w:val="77B356A7"/>
    <w:rsid w:val="77C79653"/>
    <w:rsid w:val="77CDF289"/>
    <w:rsid w:val="77D5FEAF"/>
    <w:rsid w:val="77E5D7AE"/>
    <w:rsid w:val="77EDBB84"/>
    <w:rsid w:val="77FE67C1"/>
    <w:rsid w:val="78022BDD"/>
    <w:rsid w:val="78148EBC"/>
    <w:rsid w:val="7831A89F"/>
    <w:rsid w:val="7833A642"/>
    <w:rsid w:val="7838EF31"/>
    <w:rsid w:val="783D8B43"/>
    <w:rsid w:val="78421E92"/>
    <w:rsid w:val="78455B78"/>
    <w:rsid w:val="784DB6D8"/>
    <w:rsid w:val="786274DC"/>
    <w:rsid w:val="78658230"/>
    <w:rsid w:val="78738C37"/>
    <w:rsid w:val="78B0AEEF"/>
    <w:rsid w:val="78B1DD2F"/>
    <w:rsid w:val="78E37A70"/>
    <w:rsid w:val="78E68EA3"/>
    <w:rsid w:val="792E2756"/>
    <w:rsid w:val="7936C252"/>
    <w:rsid w:val="7936C6C6"/>
    <w:rsid w:val="79484BD2"/>
    <w:rsid w:val="795499B9"/>
    <w:rsid w:val="7956A7F5"/>
    <w:rsid w:val="79BBC15C"/>
    <w:rsid w:val="79BFC8DD"/>
    <w:rsid w:val="79C062ED"/>
    <w:rsid w:val="79C130AF"/>
    <w:rsid w:val="79C14EB2"/>
    <w:rsid w:val="79CB4912"/>
    <w:rsid w:val="7A087777"/>
    <w:rsid w:val="7A0CD9B7"/>
    <w:rsid w:val="7A4C7F50"/>
    <w:rsid w:val="7A507E31"/>
    <w:rsid w:val="7A5C640E"/>
    <w:rsid w:val="7A5F3F18"/>
    <w:rsid w:val="7A61CDED"/>
    <w:rsid w:val="7A6DB33D"/>
    <w:rsid w:val="7A757E55"/>
    <w:rsid w:val="7A75D87C"/>
    <w:rsid w:val="7A979234"/>
    <w:rsid w:val="7AC9E4F6"/>
    <w:rsid w:val="7AD29C0D"/>
    <w:rsid w:val="7AD6C671"/>
    <w:rsid w:val="7AE62990"/>
    <w:rsid w:val="7AEFCA1E"/>
    <w:rsid w:val="7AF3ADBD"/>
    <w:rsid w:val="7B159D8C"/>
    <w:rsid w:val="7B1B35E9"/>
    <w:rsid w:val="7B2DFBCD"/>
    <w:rsid w:val="7B59EB60"/>
    <w:rsid w:val="7B8BF6D2"/>
    <w:rsid w:val="7BAA21F0"/>
    <w:rsid w:val="7BC79302"/>
    <w:rsid w:val="7BD136EA"/>
    <w:rsid w:val="7BE0474C"/>
    <w:rsid w:val="7BF23060"/>
    <w:rsid w:val="7C0EDDA1"/>
    <w:rsid w:val="7C12F0ED"/>
    <w:rsid w:val="7C164EAD"/>
    <w:rsid w:val="7C19C6A2"/>
    <w:rsid w:val="7C203FFF"/>
    <w:rsid w:val="7C4FA68F"/>
    <w:rsid w:val="7C522926"/>
    <w:rsid w:val="7C553324"/>
    <w:rsid w:val="7C5F52FB"/>
    <w:rsid w:val="7C65B557"/>
    <w:rsid w:val="7C67900A"/>
    <w:rsid w:val="7C70F107"/>
    <w:rsid w:val="7C7E9374"/>
    <w:rsid w:val="7C81F9F1"/>
    <w:rsid w:val="7C82E1BA"/>
    <w:rsid w:val="7C911A4E"/>
    <w:rsid w:val="7C91E942"/>
    <w:rsid w:val="7C951760"/>
    <w:rsid w:val="7C974EE0"/>
    <w:rsid w:val="7C9C5CAC"/>
    <w:rsid w:val="7CC04FB9"/>
    <w:rsid w:val="7CE03EBC"/>
    <w:rsid w:val="7CE0D99E"/>
    <w:rsid w:val="7CF3856C"/>
    <w:rsid w:val="7CF3982A"/>
    <w:rsid w:val="7D0CE799"/>
    <w:rsid w:val="7D0DA580"/>
    <w:rsid w:val="7D153EF1"/>
    <w:rsid w:val="7D38F353"/>
    <w:rsid w:val="7D47347C"/>
    <w:rsid w:val="7D512F98"/>
    <w:rsid w:val="7D51B47C"/>
    <w:rsid w:val="7D853F82"/>
    <w:rsid w:val="7D8C09D7"/>
    <w:rsid w:val="7DA76A1E"/>
    <w:rsid w:val="7DA877DB"/>
    <w:rsid w:val="7DB7115E"/>
    <w:rsid w:val="7DC7B2C6"/>
    <w:rsid w:val="7DD6DF85"/>
    <w:rsid w:val="7E0A3CCF"/>
    <w:rsid w:val="7E144708"/>
    <w:rsid w:val="7E1DCA52"/>
    <w:rsid w:val="7E1E4869"/>
    <w:rsid w:val="7E331F41"/>
    <w:rsid w:val="7E5557FB"/>
    <w:rsid w:val="7E80805F"/>
    <w:rsid w:val="7EA27A8B"/>
    <w:rsid w:val="7ED33F7B"/>
    <w:rsid w:val="7EDF1927"/>
    <w:rsid w:val="7EE88985"/>
    <w:rsid w:val="7EEF9A25"/>
    <w:rsid w:val="7EF4B12C"/>
    <w:rsid w:val="7EF7EE54"/>
    <w:rsid w:val="7EFFAD4D"/>
    <w:rsid w:val="7F173167"/>
    <w:rsid w:val="7F249415"/>
    <w:rsid w:val="7F45120E"/>
    <w:rsid w:val="7F51BAC8"/>
    <w:rsid w:val="7F7F4EB0"/>
    <w:rsid w:val="7F91746A"/>
    <w:rsid w:val="7F9DA802"/>
    <w:rsid w:val="7FBA7718"/>
    <w:rsid w:val="7FC3909B"/>
    <w:rsid w:val="7FD3136F"/>
    <w:rsid w:val="7FE56136"/>
    <w:rsid w:val="7FF13DB8"/>
    <w:rsid w:val="7FF7D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BB32D"/>
  <w15:chartTrackingRefBased/>
  <w15:docId w15:val="{1265BC57-46C2-6C43-B15F-E8003625F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F4FC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F4FC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74E7F"/>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4FC7"/>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4F4FC7"/>
    <w:pPr>
      <w:ind w:left="720"/>
      <w:contextualSpacing/>
    </w:pPr>
  </w:style>
  <w:style w:type="character" w:customStyle="1" w:styleId="Heading2Char">
    <w:name w:val="Heading 2 Char"/>
    <w:basedOn w:val="DefaultParagraphFont"/>
    <w:link w:val="Heading2"/>
    <w:uiPriority w:val="9"/>
    <w:rsid w:val="004F4FC7"/>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170DA0"/>
    <w:rPr>
      <w:color w:val="0563C1" w:themeColor="hyperlink"/>
      <w:u w:val="single"/>
    </w:rPr>
  </w:style>
  <w:style w:type="character" w:styleId="UnresolvedMention">
    <w:name w:val="Unresolved Mention"/>
    <w:basedOn w:val="DefaultParagraphFont"/>
    <w:uiPriority w:val="99"/>
    <w:semiHidden/>
    <w:unhideWhenUsed/>
    <w:rsid w:val="00170DA0"/>
    <w:rPr>
      <w:color w:val="605E5C"/>
      <w:shd w:val="clear" w:color="auto" w:fill="E1DFDD"/>
    </w:rPr>
  </w:style>
  <w:style w:type="paragraph" w:styleId="EndnoteText">
    <w:name w:val="endnote text"/>
    <w:basedOn w:val="Normal"/>
    <w:link w:val="EndnoteTextChar"/>
    <w:uiPriority w:val="99"/>
    <w:semiHidden/>
    <w:unhideWhenUsed/>
    <w:rsid w:val="00475BD8"/>
    <w:rPr>
      <w:sz w:val="20"/>
      <w:szCs w:val="20"/>
    </w:rPr>
  </w:style>
  <w:style w:type="character" w:customStyle="1" w:styleId="EndnoteTextChar">
    <w:name w:val="Endnote Text Char"/>
    <w:basedOn w:val="DefaultParagraphFont"/>
    <w:link w:val="EndnoteText"/>
    <w:uiPriority w:val="99"/>
    <w:semiHidden/>
    <w:rsid w:val="00475BD8"/>
    <w:rPr>
      <w:sz w:val="20"/>
      <w:szCs w:val="20"/>
    </w:rPr>
  </w:style>
  <w:style w:type="character" w:styleId="EndnoteReference">
    <w:name w:val="endnote reference"/>
    <w:basedOn w:val="DefaultParagraphFont"/>
    <w:uiPriority w:val="99"/>
    <w:semiHidden/>
    <w:unhideWhenUsed/>
    <w:rsid w:val="00475BD8"/>
    <w:rPr>
      <w:vertAlign w:val="superscript"/>
    </w:rPr>
  </w:style>
  <w:style w:type="character" w:styleId="FollowedHyperlink">
    <w:name w:val="FollowedHyperlink"/>
    <w:basedOn w:val="DefaultParagraphFont"/>
    <w:uiPriority w:val="99"/>
    <w:semiHidden/>
    <w:unhideWhenUsed/>
    <w:rsid w:val="00475BD8"/>
    <w:rPr>
      <w:color w:val="954F72" w:themeColor="followedHyperlink"/>
      <w:u w:val="single"/>
    </w:rPr>
  </w:style>
  <w:style w:type="paragraph" w:styleId="FootnoteText">
    <w:name w:val="footnote text"/>
    <w:basedOn w:val="Normal"/>
    <w:link w:val="FootnoteTextChar"/>
    <w:uiPriority w:val="99"/>
    <w:semiHidden/>
    <w:unhideWhenUsed/>
    <w:rsid w:val="004376D1"/>
    <w:rPr>
      <w:sz w:val="20"/>
      <w:szCs w:val="20"/>
    </w:rPr>
  </w:style>
  <w:style w:type="character" w:customStyle="1" w:styleId="FootnoteTextChar">
    <w:name w:val="Footnote Text Char"/>
    <w:basedOn w:val="DefaultParagraphFont"/>
    <w:link w:val="FootnoteText"/>
    <w:uiPriority w:val="99"/>
    <w:semiHidden/>
    <w:rsid w:val="004376D1"/>
    <w:rPr>
      <w:sz w:val="20"/>
      <w:szCs w:val="20"/>
    </w:rPr>
  </w:style>
  <w:style w:type="character" w:styleId="FootnoteReference">
    <w:name w:val="footnote reference"/>
    <w:basedOn w:val="DefaultParagraphFont"/>
    <w:uiPriority w:val="99"/>
    <w:semiHidden/>
    <w:unhideWhenUsed/>
    <w:rsid w:val="004376D1"/>
    <w:rPr>
      <w:vertAlign w:val="superscript"/>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3D1B0F"/>
    <w:rPr>
      <w:b/>
      <w:bCs/>
    </w:rPr>
  </w:style>
  <w:style w:type="character" w:customStyle="1" w:styleId="CommentSubjectChar">
    <w:name w:val="Comment Subject Char"/>
    <w:basedOn w:val="CommentTextChar"/>
    <w:link w:val="CommentSubject"/>
    <w:uiPriority w:val="99"/>
    <w:semiHidden/>
    <w:rsid w:val="003D1B0F"/>
    <w:rPr>
      <w:b/>
      <w:bCs/>
      <w:sz w:val="20"/>
      <w:szCs w:val="20"/>
    </w:rPr>
  </w:style>
  <w:style w:type="paragraph" w:styleId="Revision">
    <w:name w:val="Revision"/>
    <w:hidden/>
    <w:uiPriority w:val="99"/>
    <w:semiHidden/>
    <w:rsid w:val="003D1B0F"/>
  </w:style>
  <w:style w:type="table" w:styleId="TableGrid">
    <w:name w:val="Table Grid"/>
    <w:basedOn w:val="TableNormal"/>
    <w:uiPriority w:val="39"/>
    <w:rsid w:val="00063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B0F3F"/>
    <w:pPr>
      <w:tabs>
        <w:tab w:val="center" w:pos="4680"/>
        <w:tab w:val="right" w:pos="9360"/>
      </w:tabs>
    </w:pPr>
  </w:style>
  <w:style w:type="character" w:customStyle="1" w:styleId="HeaderChar">
    <w:name w:val="Header Char"/>
    <w:basedOn w:val="DefaultParagraphFont"/>
    <w:link w:val="Header"/>
    <w:uiPriority w:val="99"/>
    <w:rsid w:val="006B0F3F"/>
  </w:style>
  <w:style w:type="paragraph" w:styleId="Footer">
    <w:name w:val="footer"/>
    <w:basedOn w:val="Normal"/>
    <w:link w:val="FooterChar"/>
    <w:uiPriority w:val="99"/>
    <w:unhideWhenUsed/>
    <w:rsid w:val="006B0F3F"/>
    <w:pPr>
      <w:tabs>
        <w:tab w:val="center" w:pos="4680"/>
        <w:tab w:val="right" w:pos="9360"/>
      </w:tabs>
    </w:pPr>
  </w:style>
  <w:style w:type="character" w:customStyle="1" w:styleId="FooterChar">
    <w:name w:val="Footer Char"/>
    <w:basedOn w:val="DefaultParagraphFont"/>
    <w:link w:val="Footer"/>
    <w:uiPriority w:val="99"/>
    <w:rsid w:val="006B0F3F"/>
  </w:style>
  <w:style w:type="character" w:customStyle="1" w:styleId="Heading3Char">
    <w:name w:val="Heading 3 Char"/>
    <w:basedOn w:val="DefaultParagraphFont"/>
    <w:link w:val="Heading3"/>
    <w:uiPriority w:val="9"/>
    <w:rsid w:val="00674E7F"/>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5916">
      <w:bodyDiv w:val="1"/>
      <w:marLeft w:val="0"/>
      <w:marRight w:val="0"/>
      <w:marTop w:val="0"/>
      <w:marBottom w:val="0"/>
      <w:divBdr>
        <w:top w:val="none" w:sz="0" w:space="0" w:color="auto"/>
        <w:left w:val="none" w:sz="0" w:space="0" w:color="auto"/>
        <w:bottom w:val="none" w:sz="0" w:space="0" w:color="auto"/>
        <w:right w:val="none" w:sz="0" w:space="0" w:color="auto"/>
      </w:divBdr>
      <w:divsChild>
        <w:div w:id="902981239">
          <w:marLeft w:val="0"/>
          <w:marRight w:val="0"/>
          <w:marTop w:val="0"/>
          <w:marBottom w:val="0"/>
          <w:divBdr>
            <w:top w:val="none" w:sz="0" w:space="0" w:color="auto"/>
            <w:left w:val="none" w:sz="0" w:space="0" w:color="auto"/>
            <w:bottom w:val="none" w:sz="0" w:space="0" w:color="auto"/>
            <w:right w:val="none" w:sz="0" w:space="0" w:color="auto"/>
          </w:divBdr>
        </w:div>
        <w:div w:id="470908803">
          <w:marLeft w:val="0"/>
          <w:marRight w:val="0"/>
          <w:marTop w:val="0"/>
          <w:marBottom w:val="0"/>
          <w:divBdr>
            <w:top w:val="none" w:sz="0" w:space="0" w:color="auto"/>
            <w:left w:val="none" w:sz="0" w:space="0" w:color="auto"/>
            <w:bottom w:val="none" w:sz="0" w:space="0" w:color="auto"/>
            <w:right w:val="none" w:sz="0" w:space="0" w:color="auto"/>
          </w:divBdr>
        </w:div>
        <w:div w:id="1624577145">
          <w:marLeft w:val="0"/>
          <w:marRight w:val="0"/>
          <w:marTop w:val="0"/>
          <w:marBottom w:val="0"/>
          <w:divBdr>
            <w:top w:val="none" w:sz="0" w:space="0" w:color="auto"/>
            <w:left w:val="none" w:sz="0" w:space="0" w:color="auto"/>
            <w:bottom w:val="none" w:sz="0" w:space="0" w:color="auto"/>
            <w:right w:val="none" w:sz="0" w:space="0" w:color="auto"/>
          </w:divBdr>
        </w:div>
      </w:divsChild>
    </w:div>
    <w:div w:id="1949461886">
      <w:bodyDiv w:val="1"/>
      <w:marLeft w:val="0"/>
      <w:marRight w:val="0"/>
      <w:marTop w:val="0"/>
      <w:marBottom w:val="0"/>
      <w:divBdr>
        <w:top w:val="none" w:sz="0" w:space="0" w:color="auto"/>
        <w:left w:val="none" w:sz="0" w:space="0" w:color="auto"/>
        <w:bottom w:val="none" w:sz="0" w:space="0" w:color="auto"/>
        <w:right w:val="none" w:sz="0" w:space="0" w:color="auto"/>
      </w:divBdr>
      <w:divsChild>
        <w:div w:id="1483620098">
          <w:marLeft w:val="0"/>
          <w:marRight w:val="0"/>
          <w:marTop w:val="0"/>
          <w:marBottom w:val="0"/>
          <w:divBdr>
            <w:top w:val="none" w:sz="0" w:space="0" w:color="auto"/>
            <w:left w:val="none" w:sz="0" w:space="0" w:color="auto"/>
            <w:bottom w:val="none" w:sz="0" w:space="0" w:color="auto"/>
            <w:right w:val="none" w:sz="0" w:space="0" w:color="auto"/>
          </w:divBdr>
        </w:div>
        <w:div w:id="1067267932">
          <w:marLeft w:val="0"/>
          <w:marRight w:val="0"/>
          <w:marTop w:val="0"/>
          <w:marBottom w:val="0"/>
          <w:divBdr>
            <w:top w:val="none" w:sz="0" w:space="0" w:color="auto"/>
            <w:left w:val="none" w:sz="0" w:space="0" w:color="auto"/>
            <w:bottom w:val="none" w:sz="0" w:space="0" w:color="auto"/>
            <w:right w:val="none" w:sz="0" w:space="0" w:color="auto"/>
          </w:divBdr>
        </w:div>
        <w:div w:id="18401969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elevateenergy.org/wp/wp-content/uploads/Energy-Burden-in-MI.pdf" TargetMode="External"/><Relationship Id="rId21" Type="http://schemas.openxmlformats.org/officeDocument/2006/relationships/image" Target="media/image2.png"/><Relationship Id="rId42" Type="http://schemas.openxmlformats.org/officeDocument/2006/relationships/hyperlink" Target="https://communityp.com/climate-friendly-homes-fund/" TargetMode="External"/><Relationship Id="rId47" Type="http://schemas.openxmlformats.org/officeDocument/2006/relationships/hyperlink" Target="https://www.energystar.gov/partner_resources/residential_new/program_reqs/mfhr" TargetMode="External"/><Relationship Id="rId63" Type="http://schemas.openxmlformats.org/officeDocument/2006/relationships/hyperlink" Target="https://www.saje.net/wp-content/uploads/2021/12/LA-Building-Decarb_Tenant-Impact-and-Recommendations_SAJE_December-2021-1.pdf" TargetMode="External"/><Relationship Id="rId68"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fhfa.gov/PolicyProgramsResearch/Programs/AffordableHousing/Pages/Fannie-Mae-and-Freddie-Mac-Housing-Goals-Performance.aspx" TargetMode="External"/><Relationship Id="rId29" Type="http://schemas.openxmlformats.org/officeDocument/2006/relationships/hyperlink" Target="https://www.nrdc.org/experts/pierre-delforge/gas-appliances-pollute-indoor-and-outdoor-air-study-shows" TargetMode="External"/><Relationship Id="rId11" Type="http://schemas.openxmlformats.org/officeDocument/2006/relationships/hyperlink" Target="https://carsey.unh.edu/center-for-impact-finance/current-projects/equity-centered-collaborative-approach-greenhouse-gas-reduction-low-income-disadvantaged-communities" TargetMode="External"/><Relationship Id="rId24" Type="http://schemas.openxmlformats.org/officeDocument/2006/relationships/hyperlink" Target="https://www.masssave.com/" TargetMode="External"/><Relationship Id="rId32" Type="http://schemas.openxmlformats.org/officeDocument/2006/relationships/hyperlink" Target="https://healthybuilding.net/uploads/files/NRDC-HBN-EEFA%20Insulation%20Air%20Sealing%20Report%202022.pdf" TargetMode="External"/><Relationship Id="rId37" Type="http://schemas.openxmlformats.org/officeDocument/2006/relationships/hyperlink" Target="https://www.elevatenp.org/" TargetMode="External"/><Relationship Id="rId40" Type="http://schemas.openxmlformats.org/officeDocument/2006/relationships/hyperlink" Target="https://relaynetwork.org/partners/" TargetMode="External"/><Relationship Id="rId45" Type="http://schemas.openxmlformats.org/officeDocument/2006/relationships/hyperlink" Target="https://www.imt.org/resources/understanding-the-housing-affordability-risk-posed-by-building-performance-policies/" TargetMode="External"/><Relationship Id="rId53" Type="http://schemas.openxmlformats.org/officeDocument/2006/relationships/hyperlink" Target="https://www.greenandhealthyhomes.org/wp-content/uploads/2021-GHHI-Leading-with-equity_wp_Final.pdf" TargetMode="External"/><Relationship Id="rId58" Type="http://schemas.openxmlformats.org/officeDocument/2006/relationships/hyperlink" Target="https://static1.squarespace.com/static/5b6a482db27e39e8fcf65bbf/t/62f51525eadd6f661e434a1d/1660228905619/BEI_CityPlaybook2_Updated_July+2022.pdf" TargetMode="External"/><Relationship Id="rId66" Type="http://schemas.openxmlformats.org/officeDocument/2006/relationships/footer" Target="footer1.xml"/><Relationship Id="rId5" Type="http://schemas.openxmlformats.org/officeDocument/2006/relationships/numbering" Target="numbering.xml"/><Relationship Id="rId61" Type="http://schemas.openxmlformats.org/officeDocument/2006/relationships/hyperlink" Target="https://lpdd.org/wp-content/uploads/2020/03/Building-Electrification-fact-base-report.pdf" TargetMode="External"/><Relationship Id="rId19" Type="http://schemas.openxmlformats.org/officeDocument/2006/relationships/hyperlink" Target="https://www.imt.org/resources/map-building-performance-standards/" TargetMode="External"/><Relationship Id="rId14" Type="http://schemas.openxmlformats.org/officeDocument/2006/relationships/hyperlink" Target="https://americas.uli.org/new-costar-data-identifies-5-5-million-units-naturally-occurring-affordable-housing-markets-across-united-states/" TargetMode="External"/><Relationship Id="rId22" Type="http://schemas.openxmlformats.org/officeDocument/2006/relationships/hyperlink" Target="https://www.imt.org/resources/map-national-bps-coalition-participating-jurisdictions/" TargetMode="External"/><Relationship Id="rId27" Type="http://schemas.openxmlformats.org/officeDocument/2006/relationships/hyperlink" Target="https://www.aceee.org/press/2016/04/report-energy-burden-low-income" TargetMode="External"/><Relationship Id="rId30" Type="http://schemas.openxmlformats.org/officeDocument/2006/relationships/hyperlink" Target="https://academic.oup.com/ije/article/42/6/1724/737113" TargetMode="External"/><Relationship Id="rId35" Type="http://schemas.openxmlformats.org/officeDocument/2006/relationships/hyperlink" Target="https://energyfuturesgroup.com/2022/11/electrification-of-gas-heated-homes-in-chicago/" TargetMode="External"/><Relationship Id="rId43" Type="http://schemas.openxmlformats.org/officeDocument/2006/relationships/hyperlink" Target="https://www.inclusiveprosperitycapital.org/catalyst/" TargetMode="External"/><Relationship Id="rId48" Type="http://schemas.openxmlformats.org/officeDocument/2006/relationships/hyperlink" Target="https://www.energystar.gov/partner_resources/residential_new/program_reqs/mfnc_building_eligibility" TargetMode="External"/><Relationship Id="rId56" Type="http://schemas.openxmlformats.org/officeDocument/2006/relationships/hyperlink" Target="https://www.beicities.org/city-playbooks" TargetMode="External"/><Relationship Id="rId64" Type="http://schemas.openxmlformats.org/officeDocument/2006/relationships/hyperlink" Target="https://www.newyorkfed.org/outreach-and-education/climate/fed-affordable-housing-and-energy-transition" TargetMode="External"/><Relationship Id="rId69" Type="http://schemas.microsoft.com/office/2020/10/relationships/intelligence" Target="intelligence2.xml"/><Relationship Id="rId8" Type="http://schemas.openxmlformats.org/officeDocument/2006/relationships/webSettings" Target="webSettings.xml"/><Relationship Id="rId51" Type="http://schemas.openxmlformats.org/officeDocument/2006/relationships/hyperlink" Target="https://www.aceee.org/research-report/u2204" TargetMode="External"/><Relationship Id="rId3" Type="http://schemas.openxmlformats.org/officeDocument/2006/relationships/customXml" Target="../customXml/item3.xml"/><Relationship Id="rId12" Type="http://schemas.openxmlformats.org/officeDocument/2006/relationships/hyperlink" Target="https://www.aceee.org/sites/default/files/pdfs/u2204.pdf" TargetMode="External"/><Relationship Id="rId17" Type="http://schemas.openxmlformats.org/officeDocument/2006/relationships/hyperlink" Target="https://www.rd.usda.gov/programs-services/multi-family-housing-programs" TargetMode="External"/><Relationship Id="rId25" Type="http://schemas.openxmlformats.org/officeDocument/2006/relationships/hyperlink" Target="https://www.elevateenergy.org/wp/wp-content/uploads/Energy-Burden-in-IL.pdf" TargetMode="External"/><Relationship Id="rId33" Type="http://schemas.openxmlformats.org/officeDocument/2006/relationships/hyperlink" Target="https://www.aceee.org/sites/default/files/pdfs/efficiency-investments-analysis-sept-2020.pdf" TargetMode="External"/><Relationship Id="rId38" Type="http://schemas.openxmlformats.org/officeDocument/2006/relationships/hyperlink" Target="https://www.newecology.org/" TargetMode="External"/><Relationship Id="rId46" Type="http://schemas.openxmlformats.org/officeDocument/2006/relationships/hyperlink" Target="https://static1.squarespace.com/static/5b6a482db27e39e8fcf65bbf/t/62dee63440f313694d2da211/1658775094884/BEI_Housing+Affordability+and+Building+Electrification_July+2022.pdf" TargetMode="External"/><Relationship Id="rId59" Type="http://schemas.openxmlformats.org/officeDocument/2006/relationships/hyperlink" Target="https://static1.squarespace.com/static/5b6a482db27e39e8fcf65bbf/t/62f518627d0dcc7f6ceb1dac/1660229733188/BEI_CityPlaybook3_Updated_July+2022.pdf" TargetMode="External"/><Relationship Id="rId67" Type="http://schemas.openxmlformats.org/officeDocument/2006/relationships/fontTable" Target="fontTable.xml"/><Relationship Id="rId20" Type="http://schemas.openxmlformats.org/officeDocument/2006/relationships/hyperlink" Target="https://nationalbpscoalition.org/" TargetMode="External"/><Relationship Id="rId41" Type="http://schemas.openxmlformats.org/officeDocument/2006/relationships/hyperlink" Target="https://www.lisc.org/boston/our-work/green-homes/climate-ready-housing-program/" TargetMode="External"/><Relationship Id="rId54" Type="http://schemas.openxmlformats.org/officeDocument/2006/relationships/hyperlink" Target="https://climate.ny.gov/-/media/Project/Climate/Files/21-35-NY-Disadvantaged-Communities-Barriers-and-Opportunities-Report.pdf" TargetMode="External"/><Relationship Id="rId62" Type="http://schemas.openxmlformats.org/officeDocument/2006/relationships/hyperlink" Target="https://communityp.com/wp-content/uploads/2017/05/CPC_Underwriting_Efficiency_Handbook_Full_Interactive_FINAL.pdf"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huduser.gov/portal/datasets/assthsg.html" TargetMode="External"/><Relationship Id="rId23" Type="http://schemas.openxmlformats.org/officeDocument/2006/relationships/hyperlink" Target="https://www.nyserda.ny.gov/" TargetMode="External"/><Relationship Id="rId28" Type="http://schemas.openxmlformats.org/officeDocument/2006/relationships/hyperlink" Target="https://www.aceee.org/sites/default/files/pdfs/u2204.pdf" TargetMode="External"/><Relationship Id="rId36" Type="http://schemas.openxmlformats.org/officeDocument/2006/relationships/hyperlink" Target="https://developingresilience.uli.org/case/maceo-may/" TargetMode="External"/><Relationship Id="rId49" Type="http://schemas.openxmlformats.org/officeDocument/2006/relationships/hyperlink" Target="https://www.greencommunitiesonline.org/operating-energy" TargetMode="External"/><Relationship Id="rId57" Type="http://schemas.openxmlformats.org/officeDocument/2006/relationships/hyperlink" Target="https://static1.squarespace.com/static/5b6a482db27e39e8fcf65bbf/t/62f51465ca250848a4d2579f/1660228716471/BEI_CityPlaybook1_Updated_July+2022.pdf" TargetMode="External"/><Relationship Id="rId10" Type="http://schemas.openxmlformats.org/officeDocument/2006/relationships/endnotes" Target="endnotes.xml"/><Relationship Id="rId31" Type="http://schemas.openxmlformats.org/officeDocument/2006/relationships/hyperlink" Target="https://coeh.ph.ucla.edu/2020/04/29/study-gas-powered-appliances-may-be-hazardous-for-your-health/" TargetMode="External"/><Relationship Id="rId44" Type="http://schemas.openxmlformats.org/officeDocument/2006/relationships/hyperlink" Target="https://www.mhp.net/rental-financing/green-healthy-financing" TargetMode="External"/><Relationship Id="rId52" Type="http://schemas.openxmlformats.org/officeDocument/2006/relationships/hyperlink" Target="https://universitysystemnh.sharepoint.com/teams/WellsFargoCleanEnergyJustice/Shared%20Documents/GHG%20Reduction%20Fund/sprint%20design%20labs%20by%20vertical/2%20-%20multifamily%20housing/2020-Guide-for-Greener-QAPs_reduced.pdf?CT=1667317389127&amp;OR=ItemsView" TargetMode="External"/><Relationship Id="rId60" Type="http://schemas.openxmlformats.org/officeDocument/2006/relationships/hyperlink" Target="https://static1.squarespace.com/static/582a1176893fc0eadc79722d/t/62292c873d0e1a132bd229fb/1646865555270/Building-Decarb-Practice-Guide_vol_3_v4_2ND+EDITION.pdf" TargetMode="External"/><Relationship Id="rId65"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huduser.gov/portal/datasets/lihtc/property.html" TargetMode="External"/><Relationship Id="rId18" Type="http://schemas.openxmlformats.org/officeDocument/2006/relationships/image" Target="media/image1.png"/><Relationship Id="rId39" Type="http://schemas.openxmlformats.org/officeDocument/2006/relationships/hyperlink" Target="https://www.southface.org/" TargetMode="External"/><Relationship Id="rId34" Type="http://schemas.openxmlformats.org/officeDocument/2006/relationships/hyperlink" Target="https://www.sanjoseca.gov/home/showpublisheddocument/90625/638017000335100000" TargetMode="External"/><Relationship Id="rId50" Type="http://schemas.openxmlformats.org/officeDocument/2006/relationships/hyperlink" Target="https://www.nrdc.org/sites/default/files/la-affordable-housing-decarbonization-study-phase2-20211108.pdf" TargetMode="External"/><Relationship Id="rId55" Type="http://schemas.openxmlformats.org/officeDocument/2006/relationships/hyperlink" Target="https://www.aceee.org/research-report/u2204"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ethree.com/economics-of-all-electric-new-construction-in-utah/" TargetMode="External"/><Relationship Id="rId13" Type="http://schemas.openxmlformats.org/officeDocument/2006/relationships/hyperlink" Target="https://www.ethree.com/economics-of-all-electric-new-construction-in-utah/" TargetMode="External"/><Relationship Id="rId18" Type="http://schemas.openxmlformats.org/officeDocument/2006/relationships/hyperlink" Target="https://betterbuildingssolutioncenter.energy.gov/financing-navigator/primer/multifamily-energy-financing-primer" TargetMode="External"/><Relationship Id="rId3" Type="http://schemas.openxmlformats.org/officeDocument/2006/relationships/hyperlink" Target="https://www.epa.gov/energy/greenhouse-gas-equivalencies-calculator" TargetMode="External"/><Relationship Id="rId7" Type="http://schemas.openxmlformats.org/officeDocument/2006/relationships/hyperlink" Target="https://www.beicities.org/city-resources" TargetMode="External"/><Relationship Id="rId12" Type="http://schemas.openxmlformats.org/officeDocument/2006/relationships/hyperlink" Target="https://www.beicities.org/city-resources" TargetMode="External"/><Relationship Id="rId17" Type="http://schemas.openxmlformats.org/officeDocument/2006/relationships/hyperlink" Target="https://www.aceee.org/files/pdf/resource/epc_%20multifamily_housing_13.pdf" TargetMode="External"/><Relationship Id="rId2" Type="http://schemas.openxmlformats.org/officeDocument/2006/relationships/hyperlink" Target="https://www.epa.gov/energy/greenhouse-gas-equivalencies-calculator" TargetMode="External"/><Relationship Id="rId16" Type="http://schemas.openxmlformats.org/officeDocument/2006/relationships/hyperlink" Target="https://emp.lbl.gov/sites/default/files/news/lmi-final0811.pdf" TargetMode="External"/><Relationship Id="rId1" Type="http://schemas.openxmlformats.org/officeDocument/2006/relationships/hyperlink" Target="https://www.eia.gov/consumption/residential/data/2015/c&amp;e/pdf/ce1.1.pdf" TargetMode="External"/><Relationship Id="rId6" Type="http://schemas.openxmlformats.org/officeDocument/2006/relationships/hyperlink" Target="https://static1.squarespace.com/static/5b6a482db27e39e8fcf65bbf/t/630e3d507db0cb4bd5a61849/1661877586266/BEI-Burlington_Existing+Buildings+Policy+Review_July+2022_Final.pdf" TargetMode="External"/><Relationship Id="rId11" Type="http://schemas.openxmlformats.org/officeDocument/2006/relationships/hyperlink" Target="https://static1.squarespace.com/static/5b6a482db27e39e8fcf65bbf/t/62dee63440f313694d2da211/1658775094884/BEI_Housing+Affordability+and+Building+Electrification_July+2022.pdf" TargetMode="External"/><Relationship Id="rId5" Type="http://schemas.openxmlformats.org/officeDocument/2006/relationships/hyperlink" Target="https://static1.squarespace.com/static/5b6a482db27e39e8fcf65bbf/t/62dee651086dc41b0aae71d4/1658775123616/BEI_Equitable+Building+Performance+Standards_July+2022.pdf" TargetMode="External"/><Relationship Id="rId15" Type="http://schemas.openxmlformats.org/officeDocument/2006/relationships/hyperlink" Target="https://www.aceee.org/sites/default/files/pdfs/u2204.pdf" TargetMode="External"/><Relationship Id="rId10" Type="http://schemas.openxmlformats.org/officeDocument/2006/relationships/hyperlink" Target="https://nchh.org/resource-library/report_studying-the-optimal-ventilation-for-environmental-indoor-air-quality.pdf" TargetMode="External"/><Relationship Id="rId19" Type="http://schemas.openxmlformats.org/officeDocument/2006/relationships/hyperlink" Target="https://buildingdecarb.org/zeb-ordinances" TargetMode="External"/><Relationship Id="rId4" Type="http://schemas.openxmlformats.org/officeDocument/2006/relationships/hyperlink" Target="https://ternercenter.berkeley.edu/wp-content/uploads/2021/04/LIHTC-Complexity-Final.pdf" TargetMode="External"/><Relationship Id="rId9" Type="http://schemas.openxmlformats.org/officeDocument/2006/relationships/hyperlink" Target="https://www.aceee.org/research-report/u2011" TargetMode="External"/><Relationship Id="rId14" Type="http://schemas.openxmlformats.org/officeDocument/2006/relationships/hyperlink" Target="https://www.beicities.org/city-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A1E634D3C4F8141AA445AA0DA29E084" ma:contentTypeVersion="16" ma:contentTypeDescription="Create a new document." ma:contentTypeScope="" ma:versionID="d17202ed0a54643fb4ea86e3f6612483">
  <xsd:schema xmlns:xsd="http://www.w3.org/2001/XMLSchema" xmlns:xs="http://www.w3.org/2001/XMLSchema" xmlns:p="http://schemas.microsoft.com/office/2006/metadata/properties" xmlns:ns1="http://schemas.microsoft.com/sharepoint/v3" xmlns:ns2="7267598f-5e63-49d9-92d4-5fd6e580a803" xmlns:ns3="abd9cd9c-187c-4ee4-89ae-8d54e65da34f" targetNamespace="http://schemas.microsoft.com/office/2006/metadata/properties" ma:root="true" ma:fieldsID="d390386e654ca78f4da754aa48fb9cdc" ns1:_="" ns2:_="" ns3:_="">
    <xsd:import namespace="http://schemas.microsoft.com/sharepoint/v3"/>
    <xsd:import namespace="7267598f-5e63-49d9-92d4-5fd6e580a803"/>
    <xsd:import namespace="abd9cd9c-187c-4ee4-89ae-8d54e65da3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67598f-5e63-49d9-92d4-5fd6e580a8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04022ad-ef34-4d1e-9200-18c9974f9601"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d9cd9c-187c-4ee4-89ae-8d54e65da34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e07982cc-a457-42bb-8640-409fd2dbf543}" ma:internalName="TaxCatchAll" ma:showField="CatchAllData" ma:web="abd9cd9c-187c-4ee4-89ae-8d54e65da3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bd9cd9c-187c-4ee4-89ae-8d54e65da34f" xsi:nil="true"/>
    <lcf76f155ced4ddcb4097134ff3c332f xmlns="7267598f-5e63-49d9-92d4-5fd6e580a803">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SharedWithUsers xmlns="abd9cd9c-187c-4ee4-89ae-8d54e65da34f">
      <UserInfo>
        <DisplayName>Hannah Vargason</DisplayName>
        <AccountId>15</AccountId>
        <AccountType/>
      </UserInfo>
      <UserInfo>
        <DisplayName>Michael Swack</DisplayName>
        <AccountId>14</AccountId>
        <AccountType/>
      </UserInfo>
      <UserInfo>
        <DisplayName>Tina Johnson</DisplayName>
        <AccountId>13</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5CB78A-824E-4F04-9BAA-D644DEB173F1}">
  <ds:schemaRefs>
    <ds:schemaRef ds:uri="http://schemas.microsoft.com/sharepoint/v3/contenttype/forms"/>
  </ds:schemaRefs>
</ds:datastoreItem>
</file>

<file path=customXml/itemProps2.xml><?xml version="1.0" encoding="utf-8"?>
<ds:datastoreItem xmlns:ds="http://schemas.openxmlformats.org/officeDocument/2006/customXml" ds:itemID="{7864A07E-D062-451F-ACC9-494C6A68F8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267598f-5e63-49d9-92d4-5fd6e580a803"/>
    <ds:schemaRef ds:uri="abd9cd9c-187c-4ee4-89ae-8d54e65da3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DADDDF-9B98-470E-947E-BD05D51648AB}">
  <ds:schemaRefs>
    <ds:schemaRef ds:uri="http://schemas.microsoft.com/office/2006/metadata/properties"/>
    <ds:schemaRef ds:uri="http://schemas.microsoft.com/office/infopath/2007/PartnerControls"/>
    <ds:schemaRef ds:uri="abd9cd9c-187c-4ee4-89ae-8d54e65da34f"/>
    <ds:schemaRef ds:uri="7267598f-5e63-49d9-92d4-5fd6e580a803"/>
    <ds:schemaRef ds:uri="http://schemas.microsoft.com/sharepoint/v3"/>
  </ds:schemaRefs>
</ds:datastoreItem>
</file>

<file path=customXml/itemProps4.xml><?xml version="1.0" encoding="utf-8"?>
<ds:datastoreItem xmlns:ds="http://schemas.openxmlformats.org/officeDocument/2006/customXml" ds:itemID="{EAFA99E5-6911-0149-84D3-E7D164EE7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24</Pages>
  <Words>9477</Words>
  <Characters>54025</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Hangen</dc:creator>
  <cp:keywords/>
  <dc:description/>
  <cp:lastModifiedBy>Hannah Vargason</cp:lastModifiedBy>
  <cp:revision>48</cp:revision>
  <dcterms:created xsi:type="dcterms:W3CDTF">2023-06-06T16:36:00Z</dcterms:created>
  <dcterms:modified xsi:type="dcterms:W3CDTF">2023-06-07T20:36:00Z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0x010100DA1E634D3C4F8141AA445AA0DA29E084</vt:lpwstr>
  </property>
  <property fmtid="{D5CDD505-2E9C-101B-9397-08002B2CF9AE}" pid="3" name="MediaServiceImageTags">
    <vt:lpwstr/>
  </property>
</Properties>
</file>